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8BD16" w14:textId="0637D446" w:rsidR="005E5BEC" w:rsidRPr="009C0A6C" w:rsidRDefault="005E5BEC">
      <w:pPr>
        <w:ind w:right="-108"/>
        <w:jc w:val="center"/>
        <w:rPr>
          <w:rFonts w:ascii="Calibri" w:hAnsi="Calibri"/>
        </w:rPr>
      </w:pPr>
      <w:r w:rsidRPr="009C0A6C">
        <w:rPr>
          <w:rFonts w:ascii="Calibri" w:hAnsi="Calibri"/>
          <w:b/>
          <w:color w:val="0000FF"/>
          <w:sz w:val="24"/>
        </w:rPr>
        <w:t>BSWG</w:t>
      </w:r>
      <w:r w:rsidR="004B0DBA">
        <w:rPr>
          <w:rFonts w:ascii="Calibri" w:hAnsi="Calibri"/>
          <w:b/>
          <w:color w:val="0000FF"/>
          <w:sz w:val="24"/>
        </w:rPr>
        <w:t>/NCB</w:t>
      </w:r>
      <w:r w:rsidR="00B64AF7">
        <w:rPr>
          <w:rFonts w:ascii="Calibri" w:hAnsi="Calibri"/>
          <w:b/>
          <w:color w:val="0000FF"/>
          <w:sz w:val="24"/>
        </w:rPr>
        <w:t xml:space="preserve"> </w:t>
      </w:r>
      <w:r w:rsidR="004B0DBA">
        <w:rPr>
          <w:rFonts w:ascii="Calibri" w:hAnsi="Calibri"/>
          <w:b/>
          <w:color w:val="0000FF"/>
          <w:sz w:val="24"/>
        </w:rPr>
        <w:t>WG</w:t>
      </w:r>
      <w:r w:rsidRPr="009C0A6C">
        <w:rPr>
          <w:rFonts w:ascii="Calibri" w:hAnsi="Calibri"/>
          <w:b/>
          <w:color w:val="0000FF"/>
          <w:sz w:val="24"/>
        </w:rPr>
        <w:t xml:space="preserve"> </w:t>
      </w:r>
      <w:r w:rsidR="00C357EA">
        <w:rPr>
          <w:rFonts w:ascii="Calibri" w:hAnsi="Calibri"/>
          <w:b/>
          <w:color w:val="0000FF"/>
          <w:sz w:val="24"/>
        </w:rPr>
        <w:t>Nonclinical</w:t>
      </w:r>
      <w:r w:rsidR="00893777">
        <w:rPr>
          <w:rFonts w:ascii="Calibri" w:hAnsi="Calibri"/>
          <w:b/>
          <w:color w:val="0000FF"/>
          <w:sz w:val="24"/>
        </w:rPr>
        <w:t xml:space="preserve"> </w:t>
      </w:r>
      <w:r w:rsidRPr="009C0A6C">
        <w:rPr>
          <w:rFonts w:ascii="Calibri" w:hAnsi="Calibri"/>
          <w:b/>
          <w:color w:val="0000FF"/>
          <w:sz w:val="24"/>
        </w:rPr>
        <w:t xml:space="preserve">Subteam Project </w:t>
      </w:r>
      <w:r w:rsidR="00EA0BE6" w:rsidRPr="009C0A6C">
        <w:rPr>
          <w:rFonts w:ascii="Calibri" w:hAnsi="Calibri"/>
          <w:b/>
          <w:color w:val="0000FF"/>
          <w:sz w:val="24"/>
        </w:rPr>
        <w:t>Charter</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4770"/>
      </w:tblGrid>
      <w:tr w:rsidR="005E5BEC" w:rsidRPr="009C0A6C" w14:paraId="4F2D99BF" w14:textId="77777777" w:rsidTr="007C0400">
        <w:tc>
          <w:tcPr>
            <w:tcW w:w="5760" w:type="dxa"/>
            <w:tcBorders>
              <w:top w:val="single" w:sz="18" w:space="0" w:color="auto"/>
              <w:left w:val="single" w:sz="18" w:space="0" w:color="auto"/>
              <w:bottom w:val="nil"/>
              <w:right w:val="nil"/>
            </w:tcBorders>
          </w:tcPr>
          <w:p w14:paraId="7C9AB474" w14:textId="7DD66D29" w:rsidR="005E5BEC" w:rsidRPr="006B3CC2" w:rsidRDefault="005E5BEC" w:rsidP="00A90B78">
            <w:pPr>
              <w:ind w:right="-108"/>
              <w:rPr>
                <w:rFonts w:ascii="Calibri" w:hAnsi="Calibri"/>
                <w:b/>
                <w:sz w:val="22"/>
                <w:szCs w:val="22"/>
              </w:rPr>
            </w:pPr>
            <w:r w:rsidRPr="006B3CC2">
              <w:rPr>
                <w:rFonts w:ascii="Calibri" w:hAnsi="Calibri"/>
                <w:b/>
                <w:sz w:val="22"/>
                <w:szCs w:val="22"/>
              </w:rPr>
              <w:t xml:space="preserve">Project Name:  </w:t>
            </w:r>
            <w:r w:rsidR="00A22AF8" w:rsidRPr="006B3CC2">
              <w:rPr>
                <w:rFonts w:ascii="Calibri" w:hAnsi="Calibri"/>
                <w:b/>
                <w:sz w:val="22"/>
                <w:szCs w:val="22"/>
              </w:rPr>
              <w:t xml:space="preserve">Bayesian </w:t>
            </w:r>
            <w:r w:rsidR="00440A0E" w:rsidRPr="006B3CC2">
              <w:rPr>
                <w:rFonts w:ascii="Calibri" w:hAnsi="Calibri"/>
                <w:b/>
                <w:sz w:val="22"/>
                <w:szCs w:val="22"/>
              </w:rPr>
              <w:t>Nonclinical</w:t>
            </w:r>
            <w:r w:rsidRPr="006B3CC2">
              <w:rPr>
                <w:rFonts w:ascii="Calibri" w:hAnsi="Calibri"/>
                <w:b/>
                <w:sz w:val="22"/>
                <w:szCs w:val="22"/>
              </w:rPr>
              <w:t xml:space="preserve"> Subteam</w:t>
            </w:r>
          </w:p>
        </w:tc>
        <w:tc>
          <w:tcPr>
            <w:tcW w:w="4770" w:type="dxa"/>
            <w:tcBorders>
              <w:top w:val="single" w:sz="18" w:space="0" w:color="auto"/>
              <w:left w:val="nil"/>
              <w:bottom w:val="nil"/>
              <w:right w:val="single" w:sz="18" w:space="0" w:color="auto"/>
            </w:tcBorders>
          </w:tcPr>
          <w:p w14:paraId="5609C093" w14:textId="13586D61" w:rsidR="005E5BEC" w:rsidRPr="006B3CC2" w:rsidRDefault="005E5BEC" w:rsidP="006B3CC2">
            <w:pPr>
              <w:ind w:right="-108"/>
              <w:rPr>
                <w:rFonts w:ascii="Calibri" w:hAnsi="Calibri"/>
                <w:b/>
                <w:sz w:val="22"/>
                <w:szCs w:val="22"/>
              </w:rPr>
            </w:pPr>
            <w:r w:rsidRPr="006B3CC2">
              <w:rPr>
                <w:rFonts w:ascii="Calibri" w:hAnsi="Calibri"/>
                <w:b/>
                <w:sz w:val="22"/>
                <w:szCs w:val="22"/>
              </w:rPr>
              <w:t xml:space="preserve">Date Initiated:  </w:t>
            </w:r>
            <w:r w:rsidR="006B3CC2" w:rsidRPr="006B3CC2">
              <w:rPr>
                <w:rFonts w:ascii="Calibri" w:hAnsi="Calibri"/>
                <w:b/>
                <w:sz w:val="22"/>
                <w:szCs w:val="22"/>
              </w:rPr>
              <w:t xml:space="preserve">July 24, </w:t>
            </w:r>
            <w:r w:rsidR="00A90B78" w:rsidRPr="006B3CC2">
              <w:rPr>
                <w:rFonts w:ascii="Calibri" w:hAnsi="Calibri"/>
                <w:b/>
                <w:sz w:val="22"/>
                <w:szCs w:val="22"/>
              </w:rPr>
              <w:t>2019</w:t>
            </w:r>
          </w:p>
        </w:tc>
      </w:tr>
      <w:tr w:rsidR="005E5BEC" w:rsidRPr="009C0A6C" w14:paraId="136517DC" w14:textId="77777777" w:rsidTr="007C0400">
        <w:tc>
          <w:tcPr>
            <w:tcW w:w="10530" w:type="dxa"/>
            <w:gridSpan w:val="2"/>
            <w:tcBorders>
              <w:top w:val="nil"/>
              <w:left w:val="single" w:sz="18" w:space="0" w:color="auto"/>
              <w:right w:val="single" w:sz="18" w:space="0" w:color="auto"/>
            </w:tcBorders>
          </w:tcPr>
          <w:p w14:paraId="09610522" w14:textId="77777777" w:rsidR="003A2DA5" w:rsidRDefault="003A2DA5" w:rsidP="003A2DA5">
            <w:pPr>
              <w:ind w:right="-108"/>
              <w:rPr>
                <w:rFonts w:ascii="Calibri" w:hAnsi="Calibri" w:cs="AdvTIR"/>
                <w:b/>
                <w:sz w:val="22"/>
                <w:szCs w:val="22"/>
                <w:lang w:eastAsia="ja-JP"/>
              </w:rPr>
            </w:pPr>
          </w:p>
          <w:p w14:paraId="0C547D8A" w14:textId="6A941146" w:rsidR="005E5BEC" w:rsidRPr="006B3CC2" w:rsidRDefault="003A2DA5" w:rsidP="00DD7DF5">
            <w:pPr>
              <w:ind w:right="-108"/>
              <w:rPr>
                <w:rFonts w:ascii="Calibri" w:hAnsi="Calibri" w:cs="AdvTIR"/>
                <w:sz w:val="22"/>
                <w:szCs w:val="22"/>
                <w:lang w:eastAsia="ja-JP"/>
              </w:rPr>
            </w:pPr>
            <w:r w:rsidRPr="006B3CC2">
              <w:rPr>
                <w:rFonts w:ascii="Calibri" w:hAnsi="Calibri" w:cs="AdvTIR"/>
                <w:b/>
                <w:sz w:val="22"/>
                <w:szCs w:val="22"/>
                <w:lang w:eastAsia="ja-JP"/>
              </w:rPr>
              <w:t>Co-Chairs</w:t>
            </w:r>
            <w:r w:rsidRPr="006B3CC2">
              <w:rPr>
                <w:rFonts w:ascii="Calibri" w:hAnsi="Calibri" w:cs="AdvTIR"/>
                <w:sz w:val="22"/>
                <w:szCs w:val="22"/>
                <w:lang w:eastAsia="ja-JP"/>
              </w:rPr>
              <w:t>:  Paul Faya</w:t>
            </w:r>
            <w:r w:rsidR="00966760">
              <w:rPr>
                <w:rFonts w:ascii="Calibri" w:hAnsi="Calibri" w:cs="AdvTIR"/>
                <w:sz w:val="22"/>
                <w:szCs w:val="22"/>
                <w:lang w:eastAsia="ja-JP"/>
              </w:rPr>
              <w:t xml:space="preserve"> (CMC)</w:t>
            </w:r>
            <w:r w:rsidRPr="006B3CC2">
              <w:rPr>
                <w:rFonts w:ascii="Calibri" w:hAnsi="Calibri" w:cs="AdvTIR"/>
                <w:sz w:val="22"/>
                <w:szCs w:val="22"/>
                <w:lang w:eastAsia="ja-JP"/>
              </w:rPr>
              <w:t xml:space="preserve"> </w:t>
            </w:r>
            <w:r>
              <w:rPr>
                <w:rFonts w:ascii="Calibri" w:hAnsi="Calibri" w:cs="AdvTIR"/>
                <w:sz w:val="22"/>
                <w:szCs w:val="22"/>
                <w:lang w:eastAsia="ja-JP"/>
              </w:rPr>
              <w:t xml:space="preserve">&amp; Yushi Liu </w:t>
            </w:r>
            <w:r w:rsidR="00966760">
              <w:rPr>
                <w:rFonts w:ascii="Calibri" w:hAnsi="Calibri" w:cs="AdvTIR"/>
                <w:sz w:val="22"/>
                <w:szCs w:val="22"/>
                <w:lang w:eastAsia="ja-JP"/>
              </w:rPr>
              <w:t>(Pre-Clinical / Discovery)</w:t>
            </w:r>
          </w:p>
          <w:p w14:paraId="3B35A0C2" w14:textId="77777777" w:rsidR="005E5BEC" w:rsidRPr="006B3CC2" w:rsidRDefault="005E5BEC" w:rsidP="003A2DA5">
            <w:pPr>
              <w:ind w:right="-108"/>
              <w:rPr>
                <w:rFonts w:ascii="Calibri" w:hAnsi="Calibri"/>
                <w:sz w:val="22"/>
                <w:szCs w:val="22"/>
              </w:rPr>
            </w:pPr>
          </w:p>
        </w:tc>
      </w:tr>
      <w:tr w:rsidR="005E5BEC" w:rsidRPr="009C0A6C" w14:paraId="460DB8A2" w14:textId="77777777" w:rsidTr="007C0400">
        <w:tc>
          <w:tcPr>
            <w:tcW w:w="10530" w:type="dxa"/>
            <w:gridSpan w:val="2"/>
            <w:tcBorders>
              <w:left w:val="single" w:sz="18" w:space="0" w:color="auto"/>
              <w:bottom w:val="nil"/>
              <w:right w:val="single" w:sz="18" w:space="0" w:color="auto"/>
            </w:tcBorders>
          </w:tcPr>
          <w:p w14:paraId="2850FD2F" w14:textId="77777777" w:rsidR="005E5BEC" w:rsidRPr="009C0A6C" w:rsidRDefault="005E5BEC">
            <w:pPr>
              <w:ind w:right="-108"/>
              <w:rPr>
                <w:rFonts w:ascii="Calibri" w:hAnsi="Calibri"/>
                <w:b/>
                <w:sz w:val="24"/>
              </w:rPr>
            </w:pPr>
            <w:r w:rsidRPr="009C0A6C">
              <w:rPr>
                <w:rFonts w:ascii="Calibri" w:hAnsi="Calibri"/>
                <w:b/>
                <w:sz w:val="24"/>
              </w:rPr>
              <w:t>Problem Statement</w:t>
            </w:r>
          </w:p>
        </w:tc>
      </w:tr>
      <w:tr w:rsidR="005E5BEC" w:rsidRPr="009C0A6C" w14:paraId="3EBB2012" w14:textId="77777777" w:rsidTr="007C0400">
        <w:trPr>
          <w:trHeight w:val="1226"/>
        </w:trPr>
        <w:tc>
          <w:tcPr>
            <w:tcW w:w="10530" w:type="dxa"/>
            <w:gridSpan w:val="2"/>
            <w:tcBorders>
              <w:top w:val="nil"/>
              <w:left w:val="single" w:sz="18" w:space="0" w:color="auto"/>
              <w:right w:val="single" w:sz="18" w:space="0" w:color="auto"/>
            </w:tcBorders>
          </w:tcPr>
          <w:p w14:paraId="17710069" w14:textId="77777777" w:rsidR="004F0561" w:rsidRDefault="004F0561" w:rsidP="00EA0BE6">
            <w:pPr>
              <w:ind w:right="-108"/>
              <w:rPr>
                <w:rFonts w:ascii="Calibri" w:hAnsi="Calibri" w:cs="Arial"/>
                <w:sz w:val="24"/>
                <w:szCs w:val="24"/>
              </w:rPr>
            </w:pPr>
          </w:p>
          <w:p w14:paraId="7E68F418" w14:textId="50F54133" w:rsidR="004B0DBA" w:rsidRDefault="004E0A26" w:rsidP="00EA0BE6">
            <w:pPr>
              <w:ind w:right="-108"/>
              <w:rPr>
                <w:rFonts w:ascii="Calibri" w:hAnsi="Calibri" w:cs="Arial"/>
                <w:sz w:val="24"/>
                <w:szCs w:val="24"/>
              </w:rPr>
            </w:pPr>
            <w:r>
              <w:rPr>
                <w:rFonts w:ascii="Calibri" w:hAnsi="Calibri" w:cs="Arial"/>
                <w:sz w:val="24"/>
                <w:szCs w:val="24"/>
              </w:rPr>
              <w:t>“Nonclinical statistics” can be broadly defined as</w:t>
            </w:r>
            <w:r w:rsidR="00C357EA">
              <w:rPr>
                <w:rFonts w:ascii="Calibri" w:hAnsi="Calibri" w:cs="Arial"/>
                <w:sz w:val="24"/>
                <w:szCs w:val="24"/>
              </w:rPr>
              <w:t xml:space="preserve"> </w:t>
            </w:r>
            <w:r>
              <w:rPr>
                <w:rFonts w:ascii="Calibri" w:hAnsi="Calibri" w:cs="Arial"/>
                <w:sz w:val="24"/>
                <w:szCs w:val="24"/>
              </w:rPr>
              <w:t>statistic</w:t>
            </w:r>
            <w:r w:rsidR="00C357EA">
              <w:rPr>
                <w:rFonts w:ascii="Calibri" w:hAnsi="Calibri" w:cs="Arial"/>
                <w:sz w:val="24"/>
                <w:szCs w:val="24"/>
              </w:rPr>
              <w:t>al methods</w:t>
            </w:r>
            <w:r>
              <w:rPr>
                <w:rFonts w:ascii="Calibri" w:hAnsi="Calibri" w:cs="Arial"/>
                <w:sz w:val="24"/>
                <w:szCs w:val="24"/>
              </w:rPr>
              <w:t xml:space="preserve"> applied to areas </w:t>
            </w:r>
            <w:r w:rsidR="00C357EA">
              <w:rPr>
                <w:rFonts w:ascii="Calibri" w:hAnsi="Calibri" w:cs="Arial"/>
                <w:sz w:val="24"/>
                <w:szCs w:val="24"/>
              </w:rPr>
              <w:t>in the pharmaceutical/biotechnology industries that do not include</w:t>
            </w:r>
            <w:r>
              <w:rPr>
                <w:rFonts w:ascii="Calibri" w:hAnsi="Calibri" w:cs="Arial"/>
                <w:sz w:val="24"/>
                <w:szCs w:val="24"/>
              </w:rPr>
              <w:t xml:space="preserve"> clinical trials (Zhang and Su, 2016). These areas include </w:t>
            </w:r>
            <w:r w:rsidR="00C357EA">
              <w:rPr>
                <w:rFonts w:ascii="Calibri" w:hAnsi="Calibri" w:cs="Arial"/>
                <w:sz w:val="24"/>
                <w:szCs w:val="24"/>
              </w:rPr>
              <w:t xml:space="preserve">preclinical </w:t>
            </w:r>
            <w:r>
              <w:rPr>
                <w:rFonts w:ascii="Calibri" w:hAnsi="Calibri" w:cs="Arial"/>
                <w:sz w:val="24"/>
                <w:szCs w:val="24"/>
              </w:rPr>
              <w:t xml:space="preserve">discovery, nonclinical development / translational science, </w:t>
            </w:r>
            <w:r w:rsidR="00C357EA">
              <w:rPr>
                <w:rFonts w:ascii="Calibri" w:hAnsi="Calibri" w:cs="Arial"/>
                <w:sz w:val="24"/>
                <w:szCs w:val="24"/>
              </w:rPr>
              <w:t xml:space="preserve">safety, pharmacology, </w:t>
            </w:r>
            <w:r>
              <w:rPr>
                <w:rFonts w:ascii="Calibri" w:hAnsi="Calibri" w:cs="Arial"/>
                <w:sz w:val="24"/>
                <w:szCs w:val="24"/>
              </w:rPr>
              <w:t xml:space="preserve">and chemistry, manufacturing and controls (CMC). </w:t>
            </w:r>
            <w:r w:rsidR="000B7D4A">
              <w:rPr>
                <w:rFonts w:ascii="Calibri" w:hAnsi="Calibri" w:cs="Arial"/>
                <w:sz w:val="24"/>
                <w:szCs w:val="24"/>
              </w:rPr>
              <w:t>The nonclinical</w:t>
            </w:r>
            <w:r w:rsidR="000B7D4A" w:rsidRPr="00CB5DBC">
              <w:rPr>
                <w:rFonts w:ascii="Calibri" w:hAnsi="Calibri" w:cs="Arial"/>
                <w:sz w:val="24"/>
                <w:szCs w:val="24"/>
              </w:rPr>
              <w:t xml:space="preserve"> functions within pharmaceutical and biopharmaceutical companies are ripe with opportunities to apply Bayesian methods</w:t>
            </w:r>
            <w:r w:rsidR="000B7D4A" w:rsidRPr="002A7E5B">
              <w:rPr>
                <w:rFonts w:ascii="Calibri" w:hAnsi="Calibri" w:cs="Arial"/>
                <w:sz w:val="24"/>
                <w:szCs w:val="24"/>
              </w:rPr>
              <w:t>.</w:t>
            </w:r>
            <w:r w:rsidR="004B0DBA" w:rsidRPr="002A7E5B">
              <w:rPr>
                <w:rFonts w:ascii="Calibri" w:hAnsi="Calibri" w:cs="Arial"/>
                <w:sz w:val="24"/>
                <w:szCs w:val="24"/>
              </w:rPr>
              <w:t xml:space="preserve"> It has been well-documented that</w:t>
            </w:r>
            <w:r w:rsidR="00F22BC2" w:rsidRPr="002A7E5B">
              <w:rPr>
                <w:rFonts w:ascii="Calibri" w:hAnsi="Calibri" w:cs="Arial"/>
                <w:sz w:val="24"/>
                <w:szCs w:val="24"/>
              </w:rPr>
              <w:t xml:space="preserve"> </w:t>
            </w:r>
            <w:r w:rsidR="004B0DBA" w:rsidRPr="002A7E5B">
              <w:rPr>
                <w:rFonts w:ascii="Calibri" w:hAnsi="Calibri" w:cs="Arial"/>
                <w:sz w:val="24"/>
                <w:szCs w:val="24"/>
              </w:rPr>
              <w:t>the use of Bayesian statistical methods can lead to smaller study sizes</w:t>
            </w:r>
            <w:r w:rsidR="00F22BC2" w:rsidRPr="002A7E5B">
              <w:rPr>
                <w:rFonts w:ascii="Calibri" w:hAnsi="Calibri" w:cs="Arial"/>
                <w:sz w:val="24"/>
                <w:szCs w:val="24"/>
              </w:rPr>
              <w:t xml:space="preserve"> (via the use of prior information)</w:t>
            </w:r>
            <w:r w:rsidR="004B0DBA" w:rsidRPr="002A7E5B">
              <w:rPr>
                <w:rFonts w:ascii="Calibri" w:hAnsi="Calibri" w:cs="Arial"/>
                <w:sz w:val="24"/>
                <w:szCs w:val="24"/>
              </w:rPr>
              <w:t xml:space="preserve">, </w:t>
            </w:r>
            <w:r w:rsidR="00466E9D" w:rsidRPr="002A7E5B">
              <w:rPr>
                <w:rFonts w:ascii="Calibri" w:hAnsi="Calibri" w:cs="Arial"/>
                <w:sz w:val="24"/>
                <w:szCs w:val="24"/>
              </w:rPr>
              <w:t>fewer inferential approximations, and clearer inferential declarations.</w:t>
            </w:r>
            <w:r w:rsidR="00466E9D">
              <w:rPr>
                <w:rFonts w:ascii="Calibri" w:hAnsi="Calibri" w:cs="Arial"/>
                <w:sz w:val="24"/>
                <w:szCs w:val="24"/>
              </w:rPr>
              <w:t xml:space="preserve">  </w:t>
            </w:r>
          </w:p>
          <w:p w14:paraId="2D9E0F24" w14:textId="77777777" w:rsidR="004B0DBA" w:rsidRDefault="004B0DBA" w:rsidP="00EA0BE6">
            <w:pPr>
              <w:ind w:right="-108"/>
              <w:rPr>
                <w:rFonts w:ascii="Calibri" w:hAnsi="Calibri" w:cs="Arial"/>
                <w:sz w:val="24"/>
                <w:szCs w:val="24"/>
              </w:rPr>
            </w:pPr>
          </w:p>
          <w:p w14:paraId="04861797" w14:textId="7B904420" w:rsidR="003F250C" w:rsidRDefault="004E0A26" w:rsidP="00EA0BE6">
            <w:pPr>
              <w:ind w:right="-108"/>
              <w:rPr>
                <w:rFonts w:ascii="Calibri" w:hAnsi="Calibri" w:cs="Arial"/>
                <w:sz w:val="24"/>
                <w:szCs w:val="24"/>
              </w:rPr>
            </w:pPr>
            <w:r>
              <w:rPr>
                <w:rFonts w:ascii="Calibri" w:hAnsi="Calibri" w:cs="Arial"/>
                <w:sz w:val="24"/>
                <w:szCs w:val="24"/>
              </w:rPr>
              <w:t>Zhang and Su (2016)</w:t>
            </w:r>
            <w:r w:rsidR="00C357EA">
              <w:rPr>
                <w:rFonts w:ascii="Calibri" w:hAnsi="Calibri" w:cs="Arial"/>
                <w:sz w:val="24"/>
                <w:szCs w:val="24"/>
              </w:rPr>
              <w:t>, however,</w:t>
            </w:r>
            <w:r>
              <w:rPr>
                <w:rFonts w:ascii="Calibri" w:hAnsi="Calibri" w:cs="Arial"/>
                <w:sz w:val="24"/>
                <w:szCs w:val="24"/>
              </w:rPr>
              <w:t xml:space="preserve"> </w:t>
            </w:r>
            <w:r w:rsidR="00AB43D4">
              <w:rPr>
                <w:rFonts w:ascii="Calibri" w:hAnsi="Calibri" w:cs="Arial"/>
                <w:sz w:val="24"/>
                <w:szCs w:val="24"/>
              </w:rPr>
              <w:t xml:space="preserve">argue </w:t>
            </w:r>
            <w:r w:rsidR="0087333A">
              <w:rPr>
                <w:rFonts w:ascii="Calibri" w:hAnsi="Calibri" w:cs="Arial"/>
                <w:sz w:val="24"/>
                <w:szCs w:val="24"/>
              </w:rPr>
              <w:t>that the lack of significant regulatory guidance in the</w:t>
            </w:r>
            <w:r w:rsidR="00893777">
              <w:rPr>
                <w:rFonts w:ascii="Calibri" w:hAnsi="Calibri" w:cs="Arial"/>
                <w:sz w:val="24"/>
                <w:szCs w:val="24"/>
              </w:rPr>
              <w:t xml:space="preserve"> </w:t>
            </w:r>
            <w:r w:rsidR="00C357EA">
              <w:rPr>
                <w:rFonts w:ascii="Calibri" w:hAnsi="Calibri" w:cs="Arial"/>
                <w:sz w:val="24"/>
                <w:szCs w:val="24"/>
              </w:rPr>
              <w:t xml:space="preserve">nonclinical </w:t>
            </w:r>
            <w:r>
              <w:rPr>
                <w:rFonts w:ascii="Calibri" w:hAnsi="Calibri" w:cs="Arial"/>
                <w:sz w:val="24"/>
                <w:szCs w:val="24"/>
              </w:rPr>
              <w:t xml:space="preserve">space </w:t>
            </w:r>
            <w:r w:rsidR="00AB43D4">
              <w:rPr>
                <w:rFonts w:ascii="Calibri" w:hAnsi="Calibri" w:cs="Arial"/>
                <w:sz w:val="24"/>
                <w:szCs w:val="24"/>
              </w:rPr>
              <w:t>results in both</w:t>
            </w:r>
            <w:r>
              <w:rPr>
                <w:rFonts w:ascii="Calibri" w:hAnsi="Calibri" w:cs="Arial"/>
                <w:sz w:val="24"/>
                <w:szCs w:val="24"/>
              </w:rPr>
              <w:t xml:space="preserve"> challenges and opportunities with respect to the promotion and adoption of Bayesian </w:t>
            </w:r>
            <w:r w:rsidR="00A1299A">
              <w:rPr>
                <w:rFonts w:ascii="Calibri" w:hAnsi="Calibri" w:cs="Arial"/>
                <w:sz w:val="24"/>
                <w:szCs w:val="24"/>
              </w:rPr>
              <w:t>ideas</w:t>
            </w:r>
            <w:r w:rsidR="00440A0E">
              <w:rPr>
                <w:rFonts w:ascii="Calibri" w:hAnsi="Calibri" w:cs="Arial"/>
                <w:sz w:val="24"/>
                <w:szCs w:val="24"/>
              </w:rPr>
              <w:t>.</w:t>
            </w:r>
            <w:r w:rsidR="00AB43D4">
              <w:rPr>
                <w:rFonts w:ascii="Calibri" w:hAnsi="Calibri" w:cs="Arial"/>
                <w:sz w:val="24"/>
                <w:szCs w:val="24"/>
              </w:rPr>
              <w:t xml:space="preserve">  </w:t>
            </w:r>
          </w:p>
          <w:p w14:paraId="05397172" w14:textId="77777777" w:rsidR="003F250C" w:rsidRDefault="003F250C" w:rsidP="003F250C">
            <w:pPr>
              <w:ind w:right="-108"/>
              <w:rPr>
                <w:rFonts w:ascii="Calibri" w:hAnsi="Calibri" w:cs="Arial"/>
                <w:sz w:val="24"/>
                <w:szCs w:val="24"/>
              </w:rPr>
            </w:pPr>
          </w:p>
          <w:p w14:paraId="07C1C602" w14:textId="3E086C1A" w:rsidR="00476499" w:rsidRDefault="00AB43D4" w:rsidP="00C61F51">
            <w:pPr>
              <w:ind w:right="-108"/>
              <w:rPr>
                <w:rFonts w:ascii="Calibri" w:hAnsi="Calibri" w:cs="Arial"/>
                <w:sz w:val="24"/>
                <w:szCs w:val="24"/>
              </w:rPr>
            </w:pPr>
            <w:r>
              <w:rPr>
                <w:rFonts w:ascii="Calibri" w:hAnsi="Calibri" w:cs="Arial"/>
                <w:sz w:val="24"/>
                <w:szCs w:val="24"/>
              </w:rPr>
              <w:t>Without a regulatory engine</w:t>
            </w:r>
            <w:r w:rsidR="00671779">
              <w:rPr>
                <w:rFonts w:ascii="Calibri" w:hAnsi="Calibri" w:cs="Arial"/>
                <w:sz w:val="24"/>
                <w:szCs w:val="24"/>
              </w:rPr>
              <w:t xml:space="preserve"> that ensure</w:t>
            </w:r>
            <w:r w:rsidR="006425A4">
              <w:rPr>
                <w:rFonts w:ascii="Calibri" w:hAnsi="Calibri" w:cs="Arial"/>
                <w:sz w:val="24"/>
                <w:szCs w:val="24"/>
              </w:rPr>
              <w:t>s the application of good statistical practices in nonclinical areas</w:t>
            </w:r>
            <w:r>
              <w:rPr>
                <w:rFonts w:ascii="Calibri" w:hAnsi="Calibri" w:cs="Arial"/>
                <w:sz w:val="24"/>
                <w:szCs w:val="24"/>
              </w:rPr>
              <w:t xml:space="preserve">, the nonclinical statistical community may </w:t>
            </w:r>
            <w:r w:rsidR="00671779">
              <w:rPr>
                <w:rFonts w:ascii="Calibri" w:hAnsi="Calibri" w:cs="Arial"/>
                <w:sz w:val="24"/>
                <w:szCs w:val="24"/>
              </w:rPr>
              <w:t>suffer from</w:t>
            </w:r>
            <w:r>
              <w:rPr>
                <w:rFonts w:ascii="Calibri" w:hAnsi="Calibri" w:cs="Arial"/>
                <w:sz w:val="24"/>
                <w:szCs w:val="24"/>
              </w:rPr>
              <w:t xml:space="preserve"> under-appreciat</w:t>
            </w:r>
            <w:r w:rsidR="006425A4">
              <w:rPr>
                <w:rFonts w:ascii="Calibri" w:hAnsi="Calibri" w:cs="Arial"/>
                <w:sz w:val="24"/>
                <w:szCs w:val="24"/>
              </w:rPr>
              <w:t>ion</w:t>
            </w:r>
            <w:r>
              <w:rPr>
                <w:rFonts w:ascii="Calibri" w:hAnsi="Calibri" w:cs="Arial"/>
                <w:sz w:val="24"/>
                <w:szCs w:val="24"/>
              </w:rPr>
              <w:t xml:space="preserve"> in both industry and academia. </w:t>
            </w:r>
            <w:r w:rsidR="006425A4">
              <w:rPr>
                <w:rFonts w:ascii="Calibri" w:hAnsi="Calibri" w:cs="Arial"/>
                <w:sz w:val="24"/>
                <w:szCs w:val="24"/>
              </w:rPr>
              <w:t>On the other hand, fewer regulatory constraints provide room for flexibility in the application of innovative / Bayesian statistical methods in the nonclinical space.  P</w:t>
            </w:r>
            <w:r w:rsidR="00DF7251" w:rsidRPr="00CB5DBC">
              <w:rPr>
                <w:rFonts w:ascii="Calibri" w:hAnsi="Calibri" w:cs="Arial"/>
                <w:sz w:val="24"/>
                <w:szCs w:val="24"/>
              </w:rPr>
              <w:t>romoti</w:t>
            </w:r>
            <w:r w:rsidR="006425A4">
              <w:rPr>
                <w:rFonts w:ascii="Calibri" w:hAnsi="Calibri" w:cs="Arial"/>
                <w:sz w:val="24"/>
                <w:szCs w:val="24"/>
              </w:rPr>
              <w:t>on and</w:t>
            </w:r>
            <w:r w:rsidR="00DF7251" w:rsidRPr="00CB5DBC">
              <w:rPr>
                <w:rFonts w:ascii="Calibri" w:hAnsi="Calibri" w:cs="Arial"/>
                <w:sz w:val="24"/>
                <w:szCs w:val="24"/>
              </w:rPr>
              <w:t xml:space="preserve"> adop</w:t>
            </w:r>
            <w:r w:rsidR="00DF7251">
              <w:rPr>
                <w:rFonts w:ascii="Calibri" w:hAnsi="Calibri" w:cs="Arial"/>
                <w:sz w:val="24"/>
                <w:szCs w:val="24"/>
              </w:rPr>
              <w:t>tion of Bayesian methods in the non</w:t>
            </w:r>
            <w:r w:rsidR="00DF7251" w:rsidRPr="00CB5DBC">
              <w:rPr>
                <w:rFonts w:ascii="Calibri" w:hAnsi="Calibri" w:cs="Arial"/>
                <w:sz w:val="24"/>
                <w:szCs w:val="24"/>
              </w:rPr>
              <w:t xml:space="preserve">clinical </w:t>
            </w:r>
            <w:r w:rsidR="00DF7251">
              <w:rPr>
                <w:rFonts w:ascii="Calibri" w:hAnsi="Calibri" w:cs="Arial"/>
                <w:sz w:val="24"/>
                <w:szCs w:val="24"/>
              </w:rPr>
              <w:t>space</w:t>
            </w:r>
            <w:r w:rsidR="00DF7251" w:rsidRPr="00CB5DBC">
              <w:rPr>
                <w:rFonts w:ascii="Calibri" w:hAnsi="Calibri" w:cs="Arial"/>
                <w:sz w:val="24"/>
                <w:szCs w:val="24"/>
              </w:rPr>
              <w:t xml:space="preserve"> are </w:t>
            </w:r>
            <w:r w:rsidR="00DF7251">
              <w:rPr>
                <w:rFonts w:ascii="Calibri" w:hAnsi="Calibri" w:cs="Arial"/>
                <w:sz w:val="24"/>
                <w:szCs w:val="24"/>
              </w:rPr>
              <w:t>intimately linked to the mission of nonclinical statisticians in general, which is to “unlock the value of nonclinical statistics, and disseminate it to industry partners, academic peers, and regulatory agencies” (Zhang and Su, 2016)</w:t>
            </w:r>
            <w:r w:rsidR="00DF7251" w:rsidRPr="00CB5DBC">
              <w:rPr>
                <w:rFonts w:ascii="Calibri" w:hAnsi="Calibri" w:cs="Arial"/>
                <w:sz w:val="24"/>
                <w:szCs w:val="24"/>
              </w:rPr>
              <w:t>.</w:t>
            </w:r>
            <w:r w:rsidR="00DF7251">
              <w:rPr>
                <w:rFonts w:ascii="Calibri" w:hAnsi="Calibri" w:cs="Arial"/>
                <w:sz w:val="24"/>
                <w:szCs w:val="24"/>
              </w:rPr>
              <w:t xml:space="preserve"> </w:t>
            </w:r>
            <w:r>
              <w:rPr>
                <w:rFonts w:ascii="Calibri" w:hAnsi="Calibri" w:cs="Arial"/>
                <w:sz w:val="24"/>
                <w:szCs w:val="24"/>
              </w:rPr>
              <w:t xml:space="preserve"> </w:t>
            </w:r>
            <w:r w:rsidR="00D03632">
              <w:rPr>
                <w:rFonts w:ascii="Calibri" w:hAnsi="Calibri" w:cs="Arial"/>
                <w:sz w:val="24"/>
                <w:szCs w:val="24"/>
              </w:rPr>
              <w:t xml:space="preserve"> </w:t>
            </w:r>
            <w:r w:rsidR="00AD1016" w:rsidRPr="00CB5DBC">
              <w:rPr>
                <w:rFonts w:ascii="Calibri" w:hAnsi="Calibri" w:cs="Arial"/>
                <w:sz w:val="24"/>
                <w:szCs w:val="24"/>
              </w:rPr>
              <w:t xml:space="preserve"> </w:t>
            </w:r>
          </w:p>
          <w:p w14:paraId="2FD5F8EB" w14:textId="77777777" w:rsidR="005E5BEC" w:rsidRPr="009C0A6C" w:rsidRDefault="005E5BEC" w:rsidP="00466E9D">
            <w:pPr>
              <w:ind w:right="-108"/>
              <w:rPr>
                <w:rFonts w:ascii="Calibri" w:hAnsi="Calibri"/>
                <w:sz w:val="24"/>
                <w:szCs w:val="24"/>
              </w:rPr>
            </w:pPr>
          </w:p>
        </w:tc>
      </w:tr>
      <w:tr w:rsidR="005E5BEC" w:rsidRPr="009C0A6C" w14:paraId="0E05BC0E" w14:textId="77777777" w:rsidTr="007C0400">
        <w:tc>
          <w:tcPr>
            <w:tcW w:w="10530" w:type="dxa"/>
            <w:gridSpan w:val="2"/>
            <w:tcBorders>
              <w:left w:val="single" w:sz="18" w:space="0" w:color="auto"/>
              <w:bottom w:val="nil"/>
              <w:right w:val="single" w:sz="18" w:space="0" w:color="auto"/>
            </w:tcBorders>
          </w:tcPr>
          <w:p w14:paraId="2BCA1E11" w14:textId="77777777" w:rsidR="005E5BEC" w:rsidRPr="009C0A6C" w:rsidRDefault="005E5BEC">
            <w:pPr>
              <w:ind w:right="-108"/>
              <w:rPr>
                <w:rFonts w:ascii="Calibri" w:hAnsi="Calibri"/>
                <w:b/>
                <w:sz w:val="24"/>
              </w:rPr>
            </w:pPr>
            <w:r w:rsidRPr="009C0A6C">
              <w:rPr>
                <w:rFonts w:ascii="Calibri" w:hAnsi="Calibri"/>
                <w:b/>
                <w:sz w:val="24"/>
              </w:rPr>
              <w:t>Goal</w:t>
            </w:r>
            <w:r w:rsidR="00EA0BE6" w:rsidRPr="009C0A6C">
              <w:rPr>
                <w:rFonts w:ascii="Calibri" w:hAnsi="Calibri"/>
                <w:b/>
                <w:sz w:val="24"/>
              </w:rPr>
              <w:t>s</w:t>
            </w:r>
            <w:r w:rsidRPr="009C0A6C">
              <w:rPr>
                <w:rFonts w:ascii="Calibri" w:hAnsi="Calibri"/>
                <w:b/>
                <w:sz w:val="24"/>
              </w:rPr>
              <w:t xml:space="preserve"> </w:t>
            </w:r>
            <w:r w:rsidR="00FC6FC3" w:rsidRPr="009C0A6C">
              <w:rPr>
                <w:rFonts w:ascii="Calibri" w:hAnsi="Calibri"/>
                <w:b/>
                <w:sz w:val="24"/>
              </w:rPr>
              <w:t>and Objectives</w:t>
            </w:r>
          </w:p>
          <w:p w14:paraId="03F04F9E" w14:textId="77777777" w:rsidR="005E5BEC" w:rsidRPr="009C0A6C" w:rsidRDefault="005E5BEC">
            <w:pPr>
              <w:ind w:right="-108"/>
              <w:rPr>
                <w:rFonts w:ascii="Calibri" w:hAnsi="Calibri"/>
                <w:sz w:val="24"/>
              </w:rPr>
            </w:pPr>
          </w:p>
          <w:p w14:paraId="352B00EB" w14:textId="77777777" w:rsidR="00FC6FC3" w:rsidRPr="009C0A6C" w:rsidRDefault="00FC6FC3">
            <w:pPr>
              <w:ind w:right="-108"/>
              <w:rPr>
                <w:rFonts w:ascii="Calibri" w:hAnsi="Calibri"/>
                <w:sz w:val="24"/>
              </w:rPr>
            </w:pPr>
            <w:r w:rsidRPr="009C0A6C">
              <w:rPr>
                <w:rFonts w:ascii="Calibri" w:hAnsi="Calibri"/>
                <w:sz w:val="24"/>
              </w:rPr>
              <w:t>Goals:</w:t>
            </w:r>
          </w:p>
          <w:p w14:paraId="2C038E29" w14:textId="772EC023" w:rsidR="00BF73FB" w:rsidRDefault="00BF73FB" w:rsidP="00FC6FC3">
            <w:pPr>
              <w:numPr>
                <w:ilvl w:val="0"/>
                <w:numId w:val="55"/>
              </w:numPr>
              <w:ind w:right="-108"/>
              <w:rPr>
                <w:rFonts w:ascii="Calibri" w:hAnsi="Calibri"/>
                <w:sz w:val="24"/>
              </w:rPr>
            </w:pPr>
            <w:r>
              <w:rPr>
                <w:rFonts w:ascii="Calibri" w:hAnsi="Calibri"/>
                <w:sz w:val="24"/>
              </w:rPr>
              <w:t>Influence regulatory agency guidelines and standard industry practice in the context of applying Bayesian methods and philosophy in nonclinical areas.</w:t>
            </w:r>
          </w:p>
          <w:p w14:paraId="43962881" w14:textId="784DA929" w:rsidR="005F1E1E" w:rsidRPr="007947C3" w:rsidRDefault="005F1E1E" w:rsidP="007947C3">
            <w:pPr>
              <w:numPr>
                <w:ilvl w:val="0"/>
                <w:numId w:val="55"/>
              </w:numPr>
              <w:ind w:right="-108"/>
              <w:rPr>
                <w:rFonts w:ascii="Calibri" w:hAnsi="Calibri"/>
                <w:sz w:val="24"/>
              </w:rPr>
            </w:pPr>
            <w:r>
              <w:rPr>
                <w:rFonts w:ascii="Calibri" w:hAnsi="Calibri"/>
                <w:sz w:val="24"/>
              </w:rPr>
              <w:t>F</w:t>
            </w:r>
            <w:r w:rsidR="00FC6FC3" w:rsidRPr="009C0A6C">
              <w:rPr>
                <w:rFonts w:ascii="Calibri" w:hAnsi="Calibri"/>
                <w:sz w:val="24"/>
              </w:rPr>
              <w:t>oster broader awareness of the relevance, validity, and potential advantages of Baye</w:t>
            </w:r>
            <w:r w:rsidR="00A406B3">
              <w:rPr>
                <w:rFonts w:ascii="Calibri" w:hAnsi="Calibri"/>
                <w:sz w:val="24"/>
              </w:rPr>
              <w:t>sian methods applied in the non</w:t>
            </w:r>
            <w:r w:rsidR="00FC6FC3" w:rsidRPr="009C0A6C">
              <w:rPr>
                <w:rFonts w:ascii="Calibri" w:hAnsi="Calibri"/>
                <w:sz w:val="24"/>
              </w:rPr>
              <w:t xml:space="preserve">clinical space among statisticians and non-statisticians </w:t>
            </w:r>
          </w:p>
          <w:p w14:paraId="26C05BAD" w14:textId="77777777" w:rsidR="00FC6FC3" w:rsidRPr="009C0A6C" w:rsidRDefault="00FC6FC3" w:rsidP="00A34FDA">
            <w:pPr>
              <w:ind w:left="720" w:right="-108"/>
              <w:rPr>
                <w:rFonts w:ascii="Calibri" w:hAnsi="Calibri"/>
                <w:sz w:val="24"/>
              </w:rPr>
            </w:pPr>
          </w:p>
          <w:p w14:paraId="3C89D038" w14:textId="77777777" w:rsidR="00FC6FC3" w:rsidRPr="009C0A6C" w:rsidRDefault="00FC6FC3">
            <w:pPr>
              <w:ind w:right="-108"/>
              <w:rPr>
                <w:rFonts w:ascii="Calibri" w:hAnsi="Calibri"/>
                <w:sz w:val="24"/>
              </w:rPr>
            </w:pPr>
            <w:r w:rsidRPr="009C0A6C">
              <w:rPr>
                <w:rFonts w:ascii="Calibri" w:hAnsi="Calibri"/>
                <w:sz w:val="24"/>
              </w:rPr>
              <w:t>Objectives:</w:t>
            </w:r>
          </w:p>
        </w:tc>
      </w:tr>
      <w:tr w:rsidR="005E5BEC" w:rsidRPr="009C0A6C" w14:paraId="3E6D1B28" w14:textId="77777777" w:rsidTr="00EA0BE6">
        <w:trPr>
          <w:trHeight w:val="641"/>
        </w:trPr>
        <w:tc>
          <w:tcPr>
            <w:tcW w:w="10530" w:type="dxa"/>
            <w:gridSpan w:val="2"/>
            <w:tcBorders>
              <w:top w:val="nil"/>
              <w:left w:val="single" w:sz="18" w:space="0" w:color="auto"/>
              <w:right w:val="single" w:sz="18" w:space="0" w:color="auto"/>
            </w:tcBorders>
          </w:tcPr>
          <w:p w14:paraId="35CABF9C" w14:textId="15BC941D" w:rsidR="00B851CA" w:rsidRPr="002A7E5B" w:rsidRDefault="00B851CA" w:rsidP="00B25532">
            <w:pPr>
              <w:numPr>
                <w:ilvl w:val="0"/>
                <w:numId w:val="54"/>
              </w:numPr>
              <w:autoSpaceDE w:val="0"/>
              <w:autoSpaceDN w:val="0"/>
              <w:adjustRightInd w:val="0"/>
              <w:rPr>
                <w:rFonts w:ascii="Calibri" w:hAnsi="Calibri" w:cs="Arial"/>
                <w:sz w:val="24"/>
                <w:szCs w:val="24"/>
                <w:lang w:eastAsia="ja-JP"/>
              </w:rPr>
            </w:pPr>
            <w:r w:rsidRPr="002A7E5B">
              <w:rPr>
                <w:rFonts w:ascii="Calibri" w:hAnsi="Calibri" w:cs="Arial"/>
                <w:sz w:val="24"/>
                <w:szCs w:val="24"/>
                <w:lang w:eastAsia="ja-JP"/>
              </w:rPr>
              <w:t>Understand current state of Bayesian methods in the nonclinical space</w:t>
            </w:r>
          </w:p>
          <w:p w14:paraId="231D093D" w14:textId="565F7305" w:rsidR="00EA0BE6" w:rsidRPr="009C0A6C" w:rsidRDefault="00825AF1" w:rsidP="00B25532">
            <w:pPr>
              <w:numPr>
                <w:ilvl w:val="0"/>
                <w:numId w:val="54"/>
              </w:numPr>
              <w:autoSpaceDE w:val="0"/>
              <w:autoSpaceDN w:val="0"/>
              <w:adjustRightInd w:val="0"/>
              <w:rPr>
                <w:rFonts w:ascii="Calibri" w:hAnsi="Calibri" w:cs="Arial"/>
                <w:sz w:val="24"/>
                <w:szCs w:val="24"/>
                <w:lang w:eastAsia="ja-JP"/>
              </w:rPr>
            </w:pPr>
            <w:r>
              <w:rPr>
                <w:rFonts w:ascii="Calibri" w:hAnsi="Calibri" w:cs="Arial"/>
                <w:sz w:val="24"/>
                <w:szCs w:val="24"/>
                <w:lang w:eastAsia="ja-JP"/>
              </w:rPr>
              <w:t>D</w:t>
            </w:r>
            <w:r w:rsidR="00EA0BE6" w:rsidRPr="009C0A6C">
              <w:rPr>
                <w:rFonts w:ascii="Calibri" w:hAnsi="Calibri" w:cs="Arial"/>
                <w:sz w:val="24"/>
                <w:szCs w:val="24"/>
                <w:lang w:eastAsia="ja-JP"/>
              </w:rPr>
              <w:t xml:space="preserve">evelop materials for </w:t>
            </w:r>
            <w:r w:rsidR="004C3EA5" w:rsidRPr="009C0A6C">
              <w:rPr>
                <w:rFonts w:ascii="Calibri" w:hAnsi="Calibri" w:cs="Arial"/>
                <w:sz w:val="24"/>
                <w:szCs w:val="24"/>
                <w:lang w:eastAsia="ja-JP"/>
              </w:rPr>
              <w:t xml:space="preserve">sharing with statistics communities, especially in biopharmaceutical industries, through </w:t>
            </w:r>
            <w:r w:rsidR="00EA0BE6" w:rsidRPr="009C0A6C">
              <w:rPr>
                <w:rFonts w:ascii="Calibri" w:hAnsi="Calibri" w:cs="Arial"/>
                <w:sz w:val="24"/>
                <w:szCs w:val="24"/>
                <w:lang w:eastAsia="ja-JP"/>
              </w:rPr>
              <w:t xml:space="preserve">presentations </w:t>
            </w:r>
            <w:r>
              <w:rPr>
                <w:rFonts w:ascii="Calibri" w:hAnsi="Calibri" w:cs="Arial"/>
                <w:sz w:val="24"/>
                <w:szCs w:val="24"/>
                <w:lang w:eastAsia="ja-JP"/>
              </w:rPr>
              <w:t>at</w:t>
            </w:r>
            <w:r w:rsidRPr="009C0A6C">
              <w:rPr>
                <w:rFonts w:ascii="Calibri" w:hAnsi="Calibri" w:cs="Arial"/>
                <w:sz w:val="24"/>
                <w:szCs w:val="24"/>
                <w:lang w:eastAsia="ja-JP"/>
              </w:rPr>
              <w:t xml:space="preserve"> </w:t>
            </w:r>
            <w:r w:rsidR="00EA0BE6" w:rsidRPr="009C0A6C">
              <w:rPr>
                <w:rFonts w:ascii="Calibri" w:hAnsi="Calibri" w:cs="Arial"/>
                <w:sz w:val="24"/>
                <w:szCs w:val="24"/>
                <w:lang w:eastAsia="ja-JP"/>
              </w:rPr>
              <w:t xml:space="preserve">professional meetings </w:t>
            </w:r>
          </w:p>
          <w:p w14:paraId="7777BD54" w14:textId="5035D627" w:rsidR="00713B68" w:rsidRDefault="00825AF1" w:rsidP="00713B68">
            <w:pPr>
              <w:numPr>
                <w:ilvl w:val="0"/>
                <w:numId w:val="54"/>
              </w:numPr>
              <w:autoSpaceDE w:val="0"/>
              <w:autoSpaceDN w:val="0"/>
              <w:adjustRightInd w:val="0"/>
              <w:rPr>
                <w:rFonts w:ascii="Calibri" w:hAnsi="Calibri" w:cs="Arial"/>
                <w:sz w:val="24"/>
                <w:szCs w:val="24"/>
                <w:lang w:eastAsia="ja-JP"/>
              </w:rPr>
            </w:pPr>
            <w:r>
              <w:rPr>
                <w:rFonts w:ascii="Calibri" w:hAnsi="Calibri" w:cs="Arial"/>
                <w:sz w:val="24"/>
                <w:szCs w:val="24"/>
                <w:lang w:eastAsia="ja-JP"/>
              </w:rPr>
              <w:t>P</w:t>
            </w:r>
            <w:r w:rsidR="00912462" w:rsidRPr="009C0A6C">
              <w:rPr>
                <w:rFonts w:ascii="Calibri" w:hAnsi="Calibri" w:cs="Arial"/>
                <w:sz w:val="24"/>
                <w:szCs w:val="24"/>
                <w:lang w:eastAsia="ja-JP"/>
              </w:rPr>
              <w:t xml:space="preserve">rovide introductory Bayesian training </w:t>
            </w:r>
            <w:r w:rsidR="004B0DBA">
              <w:rPr>
                <w:rFonts w:ascii="Calibri" w:hAnsi="Calibri" w:cs="Arial"/>
                <w:sz w:val="24"/>
                <w:szCs w:val="24"/>
                <w:lang w:eastAsia="ja-JP"/>
              </w:rPr>
              <w:t>to</w:t>
            </w:r>
            <w:r w:rsidR="004B0DBA" w:rsidRPr="009C0A6C">
              <w:rPr>
                <w:rFonts w:ascii="Calibri" w:hAnsi="Calibri" w:cs="Arial"/>
                <w:sz w:val="24"/>
                <w:szCs w:val="24"/>
                <w:lang w:eastAsia="ja-JP"/>
              </w:rPr>
              <w:t xml:space="preserve"> </w:t>
            </w:r>
            <w:r w:rsidR="00912462" w:rsidRPr="009C0A6C">
              <w:rPr>
                <w:rFonts w:ascii="Calibri" w:hAnsi="Calibri" w:cs="Arial"/>
                <w:sz w:val="24"/>
                <w:szCs w:val="24"/>
                <w:lang w:eastAsia="ja-JP"/>
              </w:rPr>
              <w:t>statisticians a</w:t>
            </w:r>
            <w:r w:rsidR="00A406B3">
              <w:rPr>
                <w:rFonts w:ascii="Calibri" w:hAnsi="Calibri" w:cs="Arial"/>
                <w:sz w:val="24"/>
                <w:szCs w:val="24"/>
                <w:lang w:eastAsia="ja-JP"/>
              </w:rPr>
              <w:t>nd non-statisticians in the non</w:t>
            </w:r>
            <w:r w:rsidR="00912462" w:rsidRPr="009C0A6C">
              <w:rPr>
                <w:rFonts w:ascii="Calibri" w:hAnsi="Calibri" w:cs="Arial"/>
                <w:sz w:val="24"/>
                <w:szCs w:val="24"/>
                <w:lang w:eastAsia="ja-JP"/>
              </w:rPr>
              <w:t>clinical space</w:t>
            </w:r>
          </w:p>
          <w:p w14:paraId="3C6571BB" w14:textId="776EA059" w:rsidR="00713B68" w:rsidRPr="002A7E5B" w:rsidRDefault="00713B68" w:rsidP="00713B68">
            <w:pPr>
              <w:numPr>
                <w:ilvl w:val="0"/>
                <w:numId w:val="54"/>
              </w:numPr>
              <w:autoSpaceDE w:val="0"/>
              <w:autoSpaceDN w:val="0"/>
              <w:adjustRightInd w:val="0"/>
              <w:rPr>
                <w:rFonts w:ascii="Calibri" w:hAnsi="Calibri" w:cs="Arial"/>
                <w:sz w:val="24"/>
                <w:szCs w:val="24"/>
                <w:lang w:eastAsia="ja-JP"/>
              </w:rPr>
            </w:pPr>
            <w:r w:rsidRPr="002A7E5B">
              <w:rPr>
                <w:rFonts w:ascii="Calibri" w:hAnsi="Calibri" w:cs="Arial"/>
                <w:sz w:val="24"/>
                <w:szCs w:val="24"/>
                <w:lang w:eastAsia="ja-JP"/>
              </w:rPr>
              <w:t>Publish best practices / industry guidance documents for the use of Bayesian statistical methods in the nonclinical space</w:t>
            </w:r>
          </w:p>
          <w:p w14:paraId="6A0A7243" w14:textId="68B42391" w:rsidR="00DA168B" w:rsidRPr="00DA168B" w:rsidRDefault="00DA168B" w:rsidP="00DA168B">
            <w:pPr>
              <w:numPr>
                <w:ilvl w:val="0"/>
                <w:numId w:val="54"/>
              </w:numPr>
              <w:autoSpaceDE w:val="0"/>
              <w:autoSpaceDN w:val="0"/>
              <w:adjustRightInd w:val="0"/>
              <w:rPr>
                <w:rFonts w:ascii="Calibri" w:hAnsi="Calibri" w:cs="Arial"/>
                <w:sz w:val="24"/>
                <w:szCs w:val="24"/>
                <w:lang w:eastAsia="ja-JP"/>
              </w:rPr>
            </w:pPr>
            <w:r>
              <w:rPr>
                <w:rFonts w:ascii="Calibri" w:hAnsi="Calibri" w:cs="Arial"/>
                <w:sz w:val="24"/>
                <w:szCs w:val="24"/>
                <w:lang w:eastAsia="ja-JP"/>
              </w:rPr>
              <w:t>D</w:t>
            </w:r>
            <w:r w:rsidRPr="009C0A6C">
              <w:rPr>
                <w:rFonts w:ascii="Calibri" w:hAnsi="Calibri" w:cs="Arial"/>
                <w:sz w:val="24"/>
                <w:szCs w:val="24"/>
                <w:lang w:eastAsia="ja-JP"/>
              </w:rPr>
              <w:t>evelop publications in applied statistical and scientific journals</w:t>
            </w:r>
          </w:p>
          <w:p w14:paraId="6A5AF4C5" w14:textId="1EFF6188" w:rsidR="005E5BEC" w:rsidRPr="009C0A6C" w:rsidRDefault="005E5BEC" w:rsidP="007947C3">
            <w:pPr>
              <w:autoSpaceDE w:val="0"/>
              <w:autoSpaceDN w:val="0"/>
              <w:adjustRightInd w:val="0"/>
              <w:rPr>
                <w:rFonts w:ascii="Calibri" w:hAnsi="Calibri" w:cs="Arial"/>
                <w:sz w:val="24"/>
                <w:szCs w:val="24"/>
                <w:lang w:eastAsia="ja-JP"/>
              </w:rPr>
            </w:pPr>
          </w:p>
        </w:tc>
      </w:tr>
      <w:tr w:rsidR="005E5BEC" w:rsidRPr="009C0A6C" w14:paraId="7D2EDD0E" w14:textId="77777777" w:rsidTr="007C0400">
        <w:tc>
          <w:tcPr>
            <w:tcW w:w="10530" w:type="dxa"/>
            <w:gridSpan w:val="2"/>
            <w:tcBorders>
              <w:left w:val="single" w:sz="18" w:space="0" w:color="auto"/>
              <w:bottom w:val="nil"/>
              <w:right w:val="single" w:sz="18" w:space="0" w:color="auto"/>
            </w:tcBorders>
          </w:tcPr>
          <w:p w14:paraId="7AB7B574" w14:textId="77777777" w:rsidR="005E5BEC" w:rsidRPr="009C0A6C" w:rsidRDefault="005E5BEC">
            <w:pPr>
              <w:ind w:right="-108"/>
              <w:rPr>
                <w:rFonts w:ascii="Calibri" w:hAnsi="Calibri"/>
                <w:b/>
                <w:sz w:val="24"/>
              </w:rPr>
            </w:pPr>
            <w:r w:rsidRPr="009C0A6C">
              <w:rPr>
                <w:rFonts w:ascii="Calibri" w:hAnsi="Calibri"/>
                <w:b/>
                <w:sz w:val="24"/>
              </w:rPr>
              <w:t>Potential Impact</w:t>
            </w:r>
          </w:p>
          <w:p w14:paraId="74B920DE" w14:textId="77777777" w:rsidR="005E5BEC" w:rsidRPr="009C0A6C" w:rsidRDefault="005E5BEC">
            <w:pPr>
              <w:ind w:right="-108"/>
              <w:rPr>
                <w:rFonts w:ascii="Calibri" w:hAnsi="Calibri"/>
                <w:b/>
                <w:sz w:val="24"/>
              </w:rPr>
            </w:pPr>
          </w:p>
        </w:tc>
      </w:tr>
      <w:tr w:rsidR="005E5BEC" w:rsidRPr="009C0A6C" w14:paraId="59D8B888" w14:textId="77777777" w:rsidTr="007C0400">
        <w:trPr>
          <w:trHeight w:val="884"/>
        </w:trPr>
        <w:tc>
          <w:tcPr>
            <w:tcW w:w="10530" w:type="dxa"/>
            <w:gridSpan w:val="2"/>
            <w:tcBorders>
              <w:top w:val="nil"/>
              <w:left w:val="single" w:sz="18" w:space="0" w:color="auto"/>
              <w:right w:val="single" w:sz="18" w:space="0" w:color="auto"/>
            </w:tcBorders>
          </w:tcPr>
          <w:p w14:paraId="09E35E65" w14:textId="77777777" w:rsidR="00EA5A59" w:rsidRPr="009C0A6C" w:rsidRDefault="00EA5A59" w:rsidP="00EA5A59">
            <w:pPr>
              <w:pStyle w:val="ListParagraph"/>
              <w:numPr>
                <w:ilvl w:val="0"/>
                <w:numId w:val="52"/>
              </w:numPr>
              <w:ind w:left="702" w:right="-108"/>
              <w:rPr>
                <w:rFonts w:ascii="Calibri" w:hAnsi="Calibri"/>
              </w:rPr>
            </w:pPr>
            <w:r w:rsidRPr="009C0A6C">
              <w:rPr>
                <w:rFonts w:ascii="Calibri" w:hAnsi="Calibri"/>
              </w:rPr>
              <w:t>Bayesian methods more readily accepted in regulatory submission</w:t>
            </w:r>
          </w:p>
          <w:p w14:paraId="2723B795" w14:textId="2F2EF286" w:rsidR="00EA5A59" w:rsidRDefault="00EA5A59" w:rsidP="00EA5A59">
            <w:pPr>
              <w:pStyle w:val="ListParagraph"/>
              <w:numPr>
                <w:ilvl w:val="0"/>
                <w:numId w:val="52"/>
              </w:numPr>
              <w:ind w:left="702" w:right="-108"/>
              <w:rPr>
                <w:rFonts w:ascii="Calibri" w:hAnsi="Calibri"/>
              </w:rPr>
            </w:pPr>
            <w:r w:rsidRPr="009C0A6C">
              <w:rPr>
                <w:rFonts w:ascii="Calibri" w:hAnsi="Calibri"/>
              </w:rPr>
              <w:t>Bayesian methods more commonly us</w:t>
            </w:r>
            <w:r w:rsidR="009451F7" w:rsidRPr="009C0A6C">
              <w:rPr>
                <w:rFonts w:ascii="Calibri" w:hAnsi="Calibri"/>
              </w:rPr>
              <w:t>ed i</w:t>
            </w:r>
            <w:r w:rsidRPr="009C0A6C">
              <w:rPr>
                <w:rFonts w:ascii="Calibri" w:hAnsi="Calibri"/>
              </w:rPr>
              <w:t>n practice</w:t>
            </w:r>
          </w:p>
          <w:p w14:paraId="371ACDE1" w14:textId="254910DE" w:rsidR="00CA772C" w:rsidRPr="002A7E5B" w:rsidRDefault="00CA772C" w:rsidP="00EA5A59">
            <w:pPr>
              <w:pStyle w:val="ListParagraph"/>
              <w:numPr>
                <w:ilvl w:val="0"/>
                <w:numId w:val="52"/>
              </w:numPr>
              <w:ind w:left="702" w:right="-108"/>
              <w:rPr>
                <w:rFonts w:ascii="Calibri" w:hAnsi="Calibri"/>
              </w:rPr>
            </w:pPr>
            <w:r w:rsidRPr="002A7E5B">
              <w:rPr>
                <w:rFonts w:ascii="Calibri" w:hAnsi="Calibri"/>
              </w:rPr>
              <w:t>Use of prior information leading to cost / time savings from smaller studies</w:t>
            </w:r>
          </w:p>
          <w:p w14:paraId="7F18E4D1" w14:textId="5AC28921" w:rsidR="00CA772C" w:rsidRPr="002A7E5B" w:rsidRDefault="00CA772C" w:rsidP="00CE48B0">
            <w:pPr>
              <w:pStyle w:val="ListParagraph"/>
              <w:numPr>
                <w:ilvl w:val="0"/>
                <w:numId w:val="52"/>
              </w:numPr>
              <w:ind w:right="-108"/>
              <w:rPr>
                <w:rFonts w:ascii="Calibri" w:hAnsi="Calibri"/>
              </w:rPr>
            </w:pPr>
            <w:r w:rsidRPr="002A7E5B">
              <w:rPr>
                <w:rFonts w:ascii="Calibri" w:hAnsi="Calibri"/>
              </w:rPr>
              <w:t xml:space="preserve">Improved decision making via clearer quantification / </w:t>
            </w:r>
            <w:r w:rsidR="00CE48B0" w:rsidRPr="002A7E5B">
              <w:rPr>
                <w:rFonts w:ascii="Calibri" w:hAnsi="Calibri"/>
              </w:rPr>
              <w:t>probabilization</w:t>
            </w:r>
            <w:r w:rsidRPr="002A7E5B">
              <w:rPr>
                <w:rFonts w:ascii="Calibri" w:hAnsi="Calibri"/>
              </w:rPr>
              <w:t xml:space="preserve"> of risk </w:t>
            </w:r>
            <w:r w:rsidR="00CE48B0" w:rsidRPr="002A7E5B">
              <w:rPr>
                <w:rFonts w:ascii="Calibri" w:hAnsi="Calibri"/>
              </w:rPr>
              <w:t xml:space="preserve">and uncertainty </w:t>
            </w:r>
          </w:p>
          <w:p w14:paraId="7413ADE6" w14:textId="118EC29E" w:rsidR="00CE48B0" w:rsidRPr="002A7E5B" w:rsidRDefault="00CE48B0" w:rsidP="00CE48B0">
            <w:pPr>
              <w:pStyle w:val="ListParagraph"/>
              <w:numPr>
                <w:ilvl w:val="0"/>
                <w:numId w:val="52"/>
              </w:numPr>
              <w:ind w:right="-108"/>
              <w:rPr>
                <w:rFonts w:ascii="Calibri" w:hAnsi="Calibri"/>
              </w:rPr>
            </w:pPr>
            <w:r w:rsidRPr="002A7E5B">
              <w:rPr>
                <w:rFonts w:ascii="Calibri" w:hAnsi="Calibri"/>
              </w:rPr>
              <w:lastRenderedPageBreak/>
              <w:t>Industry alignment on application of Bayesian methods in the nonclinical space</w:t>
            </w:r>
          </w:p>
          <w:p w14:paraId="2CCCE8AA" w14:textId="32675D6F" w:rsidR="00CE48B0" w:rsidRPr="002A7E5B" w:rsidRDefault="00CE48B0" w:rsidP="00CE48B0">
            <w:pPr>
              <w:pStyle w:val="ListParagraph"/>
              <w:numPr>
                <w:ilvl w:val="0"/>
                <w:numId w:val="52"/>
              </w:numPr>
              <w:ind w:right="-108"/>
              <w:rPr>
                <w:rFonts w:ascii="Calibri" w:hAnsi="Calibri"/>
              </w:rPr>
            </w:pPr>
            <w:r w:rsidRPr="002A7E5B">
              <w:rPr>
                <w:rFonts w:ascii="Calibri" w:hAnsi="Calibri"/>
              </w:rPr>
              <w:t xml:space="preserve">Improved linkage of stages in drug development via </w:t>
            </w:r>
            <w:r w:rsidR="00216EE5" w:rsidRPr="002A7E5B">
              <w:rPr>
                <w:rFonts w:ascii="Calibri" w:hAnsi="Calibri"/>
              </w:rPr>
              <w:t>sequential use of Bayes’ theorem across studies</w:t>
            </w:r>
          </w:p>
          <w:p w14:paraId="72A9095A" w14:textId="749F87A5" w:rsidR="00E85420" w:rsidRPr="009C0A6C" w:rsidRDefault="00E85420" w:rsidP="00E85420">
            <w:pPr>
              <w:pStyle w:val="ListParagraph"/>
              <w:ind w:left="702" w:right="-108"/>
              <w:rPr>
                <w:rFonts w:ascii="Calibri" w:hAnsi="Calibri"/>
              </w:rPr>
            </w:pPr>
          </w:p>
        </w:tc>
      </w:tr>
      <w:tr w:rsidR="005E5BEC" w:rsidRPr="009C0A6C" w14:paraId="3869A3DE" w14:textId="77777777" w:rsidTr="007C0400">
        <w:tc>
          <w:tcPr>
            <w:tcW w:w="10530" w:type="dxa"/>
            <w:gridSpan w:val="2"/>
            <w:tcBorders>
              <w:left w:val="single" w:sz="18" w:space="0" w:color="auto"/>
              <w:bottom w:val="nil"/>
              <w:right w:val="single" w:sz="18" w:space="0" w:color="auto"/>
            </w:tcBorders>
          </w:tcPr>
          <w:p w14:paraId="6A2C168A" w14:textId="77777777" w:rsidR="005E5BEC" w:rsidRPr="009C0A6C" w:rsidRDefault="005E5BEC">
            <w:pPr>
              <w:ind w:right="-108"/>
              <w:rPr>
                <w:rFonts w:ascii="Calibri" w:hAnsi="Calibri"/>
                <w:b/>
                <w:sz w:val="24"/>
              </w:rPr>
            </w:pPr>
            <w:r w:rsidRPr="009C0A6C">
              <w:rPr>
                <w:rFonts w:ascii="Calibri" w:hAnsi="Calibri"/>
                <w:b/>
                <w:sz w:val="24"/>
              </w:rPr>
              <w:lastRenderedPageBreak/>
              <w:t xml:space="preserve"> Project Scope</w:t>
            </w:r>
            <w:r w:rsidR="00EA0BE6" w:rsidRPr="009C0A6C">
              <w:rPr>
                <w:rFonts w:ascii="Calibri" w:hAnsi="Calibri"/>
                <w:b/>
                <w:sz w:val="24"/>
              </w:rPr>
              <w:t xml:space="preserve"> and Areas of Focus</w:t>
            </w:r>
          </w:p>
        </w:tc>
      </w:tr>
      <w:tr w:rsidR="005E5BEC" w:rsidRPr="009C0A6C" w14:paraId="46AFEB31" w14:textId="77777777" w:rsidTr="007C0400">
        <w:trPr>
          <w:trHeight w:val="605"/>
        </w:trPr>
        <w:tc>
          <w:tcPr>
            <w:tcW w:w="10530" w:type="dxa"/>
            <w:gridSpan w:val="2"/>
            <w:tcBorders>
              <w:top w:val="nil"/>
              <w:left w:val="single" w:sz="18" w:space="0" w:color="auto"/>
              <w:right w:val="single" w:sz="18" w:space="0" w:color="auto"/>
            </w:tcBorders>
          </w:tcPr>
          <w:p w14:paraId="47C05F87" w14:textId="77777777" w:rsidR="005E5BEC" w:rsidRPr="009C0A6C" w:rsidRDefault="005E5BEC" w:rsidP="00DD7DF5">
            <w:pPr>
              <w:autoSpaceDE w:val="0"/>
              <w:autoSpaceDN w:val="0"/>
              <w:adjustRightInd w:val="0"/>
              <w:rPr>
                <w:rFonts w:ascii="Calibri" w:hAnsi="Calibri" w:cs="Arial"/>
                <w:sz w:val="24"/>
                <w:szCs w:val="24"/>
                <w:lang w:eastAsia="ja-JP"/>
              </w:rPr>
            </w:pPr>
          </w:p>
          <w:p w14:paraId="0BB18A37" w14:textId="278A76FF" w:rsidR="00F76463" w:rsidRPr="00B83A8D" w:rsidRDefault="004C1E65" w:rsidP="00B83A8D">
            <w:pPr>
              <w:pStyle w:val="ListParagraph"/>
              <w:numPr>
                <w:ilvl w:val="0"/>
                <w:numId w:val="52"/>
              </w:numPr>
              <w:ind w:left="702" w:right="-108"/>
              <w:rPr>
                <w:rFonts w:ascii="Calibri" w:hAnsi="Calibri"/>
              </w:rPr>
            </w:pPr>
            <w:r w:rsidRPr="002A7E5B">
              <w:rPr>
                <w:rFonts w:ascii="Calibri" w:hAnsi="Calibri"/>
              </w:rPr>
              <w:t xml:space="preserve">The team will initially focus </w:t>
            </w:r>
            <w:r w:rsidR="00407CDF" w:rsidRPr="002A7E5B">
              <w:rPr>
                <w:rFonts w:ascii="Calibri" w:hAnsi="Calibri"/>
              </w:rPr>
              <w:t xml:space="preserve">efforts </w:t>
            </w:r>
            <w:r w:rsidRPr="002A7E5B">
              <w:rPr>
                <w:rFonts w:ascii="Calibri" w:hAnsi="Calibri"/>
              </w:rPr>
              <w:t xml:space="preserve">on the CMC </w:t>
            </w:r>
            <w:r w:rsidR="00B83A8D">
              <w:rPr>
                <w:rFonts w:ascii="Calibri" w:hAnsi="Calibri"/>
              </w:rPr>
              <w:t xml:space="preserve">and discovery areas </w:t>
            </w:r>
          </w:p>
          <w:p w14:paraId="35102032" w14:textId="77777777" w:rsidR="009451F7" w:rsidRPr="009C0A6C" w:rsidRDefault="009451F7" w:rsidP="009451F7">
            <w:pPr>
              <w:pStyle w:val="ListParagraph"/>
              <w:ind w:left="702" w:right="-108"/>
              <w:rPr>
                <w:rFonts w:ascii="Calibri" w:hAnsi="Calibri"/>
              </w:rPr>
            </w:pPr>
          </w:p>
        </w:tc>
      </w:tr>
      <w:tr w:rsidR="005E5BEC" w:rsidRPr="009C0A6C" w14:paraId="24CD475C" w14:textId="77777777" w:rsidTr="007C0400">
        <w:tc>
          <w:tcPr>
            <w:tcW w:w="10530" w:type="dxa"/>
            <w:gridSpan w:val="2"/>
            <w:tcBorders>
              <w:left w:val="single" w:sz="18" w:space="0" w:color="auto"/>
              <w:bottom w:val="nil"/>
              <w:right w:val="single" w:sz="18" w:space="0" w:color="auto"/>
            </w:tcBorders>
          </w:tcPr>
          <w:p w14:paraId="65DE8626" w14:textId="77777777" w:rsidR="005E5BEC" w:rsidRPr="009C0A6C" w:rsidRDefault="005E5BEC">
            <w:pPr>
              <w:ind w:right="-108"/>
              <w:rPr>
                <w:rFonts w:ascii="Calibri" w:hAnsi="Calibri"/>
                <w:b/>
                <w:sz w:val="24"/>
              </w:rPr>
            </w:pPr>
            <w:r w:rsidRPr="009C0A6C">
              <w:rPr>
                <w:rFonts w:ascii="Calibri" w:hAnsi="Calibri"/>
                <w:b/>
                <w:sz w:val="24"/>
              </w:rPr>
              <w:t>Project Plan/Key Deliverables/Timeline</w:t>
            </w:r>
          </w:p>
        </w:tc>
      </w:tr>
      <w:tr w:rsidR="005E5BEC" w:rsidRPr="009C0A6C" w14:paraId="20666C71" w14:textId="77777777" w:rsidTr="007C0400">
        <w:trPr>
          <w:trHeight w:val="1500"/>
        </w:trPr>
        <w:tc>
          <w:tcPr>
            <w:tcW w:w="10530" w:type="dxa"/>
            <w:gridSpan w:val="2"/>
            <w:tcBorders>
              <w:top w:val="nil"/>
              <w:left w:val="single" w:sz="18" w:space="0" w:color="auto"/>
              <w:bottom w:val="nil"/>
              <w:right w:val="single" w:sz="18" w:space="0" w:color="auto"/>
            </w:tcBorders>
          </w:tcPr>
          <w:p w14:paraId="723748F2" w14:textId="77777777" w:rsidR="005E5BEC" w:rsidRPr="009C0A6C" w:rsidRDefault="005E5BEC" w:rsidP="00CB7495">
            <w:pPr>
              <w:ind w:left="720" w:right="-108"/>
              <w:rPr>
                <w:rFonts w:ascii="Calibri" w:hAnsi="Calibri"/>
                <w:sz w:val="24"/>
                <w:szCs w:val="24"/>
              </w:rPr>
            </w:pPr>
          </w:p>
          <w:p w14:paraId="4DF6526A" w14:textId="77777777" w:rsidR="009451F7" w:rsidRPr="002A7E5B" w:rsidRDefault="009451F7" w:rsidP="00904F8B">
            <w:pPr>
              <w:numPr>
                <w:ilvl w:val="0"/>
                <w:numId w:val="32"/>
              </w:numPr>
              <w:ind w:right="-108"/>
              <w:rPr>
                <w:rFonts w:ascii="Calibri" w:hAnsi="Calibri"/>
                <w:sz w:val="24"/>
                <w:szCs w:val="24"/>
              </w:rPr>
            </w:pPr>
            <w:r w:rsidRPr="002A7E5B">
              <w:rPr>
                <w:rFonts w:ascii="Calibri" w:hAnsi="Calibri"/>
                <w:sz w:val="24"/>
                <w:szCs w:val="24"/>
              </w:rPr>
              <w:t>2019 – Form the subgroup team</w:t>
            </w:r>
          </w:p>
          <w:p w14:paraId="7DC498ED" w14:textId="7612863D" w:rsidR="009451F7" w:rsidRDefault="00050B1F" w:rsidP="00904F8B">
            <w:pPr>
              <w:numPr>
                <w:ilvl w:val="0"/>
                <w:numId w:val="32"/>
              </w:numPr>
              <w:ind w:right="-108"/>
              <w:rPr>
                <w:rFonts w:ascii="Calibri" w:hAnsi="Calibri"/>
                <w:sz w:val="24"/>
                <w:szCs w:val="24"/>
              </w:rPr>
            </w:pPr>
            <w:r w:rsidRPr="002A7E5B">
              <w:rPr>
                <w:rFonts w:ascii="Calibri" w:hAnsi="Calibri"/>
                <w:sz w:val="24"/>
                <w:szCs w:val="24"/>
              </w:rPr>
              <w:t>2019 – Conduct baseline survey with nonclinical statistics community</w:t>
            </w:r>
          </w:p>
          <w:p w14:paraId="3FB4C0D4" w14:textId="0D43E303" w:rsidR="0000424E" w:rsidRPr="002A7E5B" w:rsidRDefault="0000424E" w:rsidP="0000424E">
            <w:pPr>
              <w:ind w:left="360" w:right="-108"/>
              <w:rPr>
                <w:rFonts w:ascii="Calibri" w:hAnsi="Calibri"/>
                <w:sz w:val="24"/>
                <w:szCs w:val="24"/>
              </w:rPr>
            </w:pPr>
            <w:r>
              <w:rPr>
                <w:rFonts w:ascii="Calibri" w:hAnsi="Calibri"/>
                <w:sz w:val="24"/>
                <w:szCs w:val="24"/>
              </w:rPr>
              <w:t>Ongoing:</w:t>
            </w:r>
          </w:p>
          <w:p w14:paraId="490F64A4" w14:textId="083A8AB5" w:rsidR="00050B1F" w:rsidRPr="002A7E5B" w:rsidRDefault="00050B1F" w:rsidP="00904F8B">
            <w:pPr>
              <w:numPr>
                <w:ilvl w:val="0"/>
                <w:numId w:val="32"/>
              </w:numPr>
              <w:ind w:right="-108"/>
              <w:rPr>
                <w:rFonts w:ascii="Calibri" w:hAnsi="Calibri"/>
                <w:sz w:val="24"/>
                <w:szCs w:val="24"/>
              </w:rPr>
            </w:pPr>
            <w:r w:rsidRPr="002A7E5B">
              <w:rPr>
                <w:rFonts w:ascii="Calibri" w:hAnsi="Calibri"/>
                <w:sz w:val="24"/>
                <w:szCs w:val="24"/>
              </w:rPr>
              <w:t>Identify and begin to develop case studies / best practice documents</w:t>
            </w:r>
          </w:p>
          <w:p w14:paraId="7A2BB5EE" w14:textId="24820F76" w:rsidR="009451F7" w:rsidRPr="002A7E5B" w:rsidRDefault="009451F7" w:rsidP="00904F8B">
            <w:pPr>
              <w:numPr>
                <w:ilvl w:val="0"/>
                <w:numId w:val="32"/>
              </w:numPr>
              <w:ind w:right="-108"/>
              <w:rPr>
                <w:rFonts w:ascii="Calibri" w:hAnsi="Calibri"/>
                <w:sz w:val="24"/>
                <w:szCs w:val="24"/>
              </w:rPr>
            </w:pPr>
            <w:r w:rsidRPr="002A7E5B">
              <w:rPr>
                <w:rFonts w:ascii="Calibri" w:hAnsi="Calibri"/>
                <w:sz w:val="24"/>
                <w:szCs w:val="24"/>
              </w:rPr>
              <w:t>Prepare and present material at conference</w:t>
            </w:r>
            <w:r w:rsidR="00050B1F" w:rsidRPr="002A7E5B">
              <w:rPr>
                <w:rFonts w:ascii="Calibri" w:hAnsi="Calibri"/>
                <w:sz w:val="24"/>
                <w:szCs w:val="24"/>
              </w:rPr>
              <w:t>s</w:t>
            </w:r>
            <w:r w:rsidRPr="002A7E5B">
              <w:rPr>
                <w:rFonts w:ascii="Calibri" w:hAnsi="Calibri"/>
                <w:sz w:val="24"/>
                <w:szCs w:val="24"/>
              </w:rPr>
              <w:t xml:space="preserve"> / workshop</w:t>
            </w:r>
            <w:r w:rsidR="00050B1F" w:rsidRPr="002A7E5B">
              <w:rPr>
                <w:rFonts w:ascii="Calibri" w:hAnsi="Calibri"/>
                <w:sz w:val="24"/>
                <w:szCs w:val="24"/>
              </w:rPr>
              <w:t>s</w:t>
            </w:r>
          </w:p>
          <w:p w14:paraId="3E9D9BC1" w14:textId="082A48A1" w:rsidR="00050B1F" w:rsidRPr="002A7E5B" w:rsidRDefault="00050B1F" w:rsidP="00904F8B">
            <w:pPr>
              <w:numPr>
                <w:ilvl w:val="0"/>
                <w:numId w:val="32"/>
              </w:numPr>
              <w:ind w:right="-108"/>
              <w:rPr>
                <w:rFonts w:ascii="Calibri" w:hAnsi="Calibri"/>
                <w:sz w:val="24"/>
                <w:szCs w:val="24"/>
              </w:rPr>
            </w:pPr>
            <w:r w:rsidRPr="002A7E5B">
              <w:rPr>
                <w:rFonts w:ascii="Calibri" w:hAnsi="Calibri"/>
                <w:sz w:val="24"/>
                <w:szCs w:val="24"/>
              </w:rPr>
              <w:t>Publish literature review on Bayesian methods in the nonclinical space</w:t>
            </w:r>
          </w:p>
          <w:p w14:paraId="77D42398" w14:textId="77777777" w:rsidR="005E5BEC" w:rsidRPr="009C0A6C" w:rsidRDefault="005E5BEC" w:rsidP="009451F7">
            <w:pPr>
              <w:ind w:left="720" w:right="-108"/>
              <w:rPr>
                <w:rFonts w:ascii="Calibri" w:hAnsi="Calibri"/>
                <w:sz w:val="24"/>
                <w:szCs w:val="24"/>
              </w:rPr>
            </w:pPr>
          </w:p>
        </w:tc>
      </w:tr>
      <w:tr w:rsidR="005E5BEC" w:rsidRPr="009C0A6C" w14:paraId="24B14CF0" w14:textId="77777777" w:rsidTr="007C0400">
        <w:tc>
          <w:tcPr>
            <w:tcW w:w="10530" w:type="dxa"/>
            <w:gridSpan w:val="2"/>
            <w:tcBorders>
              <w:left w:val="single" w:sz="18" w:space="0" w:color="auto"/>
              <w:bottom w:val="nil"/>
              <w:right w:val="single" w:sz="18" w:space="0" w:color="auto"/>
            </w:tcBorders>
          </w:tcPr>
          <w:p w14:paraId="145AE606" w14:textId="77777777" w:rsidR="005E5BEC" w:rsidRPr="009C0A6C" w:rsidRDefault="005E5BEC" w:rsidP="00DD7DF5">
            <w:pPr>
              <w:ind w:right="-108"/>
              <w:rPr>
                <w:rFonts w:ascii="Calibri" w:hAnsi="Calibri"/>
                <w:b/>
                <w:sz w:val="24"/>
              </w:rPr>
            </w:pPr>
            <w:r w:rsidRPr="009C0A6C">
              <w:rPr>
                <w:rFonts w:ascii="Calibri" w:hAnsi="Calibri"/>
                <w:b/>
                <w:sz w:val="24"/>
              </w:rPr>
              <w:t>Key References</w:t>
            </w:r>
          </w:p>
          <w:p w14:paraId="7E3725C7" w14:textId="77777777" w:rsidR="00EA0BE6" w:rsidRPr="009C0A6C" w:rsidRDefault="00EA0BE6" w:rsidP="00DD7DF5">
            <w:pPr>
              <w:ind w:right="-108"/>
              <w:rPr>
                <w:rFonts w:ascii="Calibri" w:hAnsi="Calibri"/>
                <w:sz w:val="24"/>
              </w:rPr>
            </w:pPr>
          </w:p>
        </w:tc>
      </w:tr>
      <w:tr w:rsidR="005E5BEC" w:rsidRPr="009C0A6C" w14:paraId="0DB255BF" w14:textId="77777777" w:rsidTr="007C0400">
        <w:trPr>
          <w:trHeight w:val="875"/>
        </w:trPr>
        <w:tc>
          <w:tcPr>
            <w:tcW w:w="10530" w:type="dxa"/>
            <w:gridSpan w:val="2"/>
            <w:tcBorders>
              <w:top w:val="nil"/>
              <w:left w:val="single" w:sz="18" w:space="0" w:color="auto"/>
              <w:right w:val="single" w:sz="18" w:space="0" w:color="auto"/>
            </w:tcBorders>
          </w:tcPr>
          <w:p w14:paraId="40E16097"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Faya, P., Seaman Jr, J. W., &amp; Stamey, J. D. (2017). Bayesian assurance and sample size determination in the process validation life-cycle.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27</w:t>
            </w:r>
            <w:r>
              <w:rPr>
                <w:rFonts w:ascii="Arial" w:hAnsi="Arial" w:cs="Arial"/>
                <w:color w:val="222222"/>
                <w:shd w:val="clear" w:color="auto" w:fill="FFFFFF"/>
              </w:rPr>
              <w:t>(1), 159-174.</w:t>
            </w:r>
          </w:p>
          <w:p w14:paraId="21434CAF"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Faya, P., Seaman Jr, J. W., &amp; Stamey, J. D. (2018). Using accelerated drug stability results to inform long</w:t>
            </w:r>
            <w:r>
              <w:rPr>
                <w:rFonts w:ascii="Cambria Math" w:hAnsi="Cambria Math" w:cs="Cambria Math"/>
                <w:color w:val="222222"/>
                <w:shd w:val="clear" w:color="auto" w:fill="FFFFFF"/>
              </w:rPr>
              <w:t>‐</w:t>
            </w:r>
            <w:r>
              <w:rPr>
                <w:rFonts w:ascii="Arial" w:hAnsi="Arial" w:cs="Arial"/>
                <w:color w:val="222222"/>
                <w:shd w:val="clear" w:color="auto" w:fill="FFFFFF"/>
              </w:rPr>
              <w:t>term studies in shelf life determination. </w:t>
            </w:r>
            <w:r>
              <w:rPr>
                <w:rFonts w:ascii="Arial" w:hAnsi="Arial" w:cs="Arial"/>
                <w:i/>
                <w:iCs/>
                <w:color w:val="222222"/>
                <w:shd w:val="clear" w:color="auto" w:fill="FFFFFF"/>
              </w:rPr>
              <w:t>Statistics in medicine</w:t>
            </w:r>
            <w:r>
              <w:rPr>
                <w:rFonts w:ascii="Arial" w:hAnsi="Arial" w:cs="Arial"/>
                <w:color w:val="222222"/>
                <w:shd w:val="clear" w:color="auto" w:fill="FFFFFF"/>
              </w:rPr>
              <w:t>, </w:t>
            </w:r>
            <w:r>
              <w:rPr>
                <w:rFonts w:ascii="Arial" w:hAnsi="Arial" w:cs="Arial"/>
                <w:i/>
                <w:iCs/>
                <w:color w:val="222222"/>
                <w:shd w:val="clear" w:color="auto" w:fill="FFFFFF"/>
              </w:rPr>
              <w:t>37</w:t>
            </w:r>
            <w:r>
              <w:rPr>
                <w:rFonts w:ascii="Arial" w:hAnsi="Arial" w:cs="Arial"/>
                <w:color w:val="222222"/>
                <w:shd w:val="clear" w:color="auto" w:fill="FFFFFF"/>
              </w:rPr>
              <w:t>(17), 2599-2615.</w:t>
            </w:r>
          </w:p>
          <w:p w14:paraId="2DE1A885"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Lebrun, P., Boulanger, B., Debrus, B., Lambert, P., &amp; Hubert, P. (2013). A Bayesian design space for analytical methods based on multivariate models and predictions.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23</w:t>
            </w:r>
            <w:r>
              <w:rPr>
                <w:rFonts w:ascii="Arial" w:hAnsi="Arial" w:cs="Arial"/>
                <w:color w:val="222222"/>
                <w:shd w:val="clear" w:color="auto" w:fill="FFFFFF"/>
              </w:rPr>
              <w:t>(6), 1330-1351.</w:t>
            </w:r>
          </w:p>
          <w:p w14:paraId="450AD314"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Lebrun, P., Krier, F., Mantanus, J., Grohganz, H., Yang, M., Rozet, E., ... &amp; Hubert, P. (2012). Design space approach in the optimization of the spray-drying process. </w:t>
            </w:r>
            <w:r>
              <w:rPr>
                <w:rFonts w:ascii="Arial" w:hAnsi="Arial" w:cs="Arial"/>
                <w:i/>
                <w:iCs/>
                <w:color w:val="222222"/>
                <w:shd w:val="clear" w:color="auto" w:fill="FFFFFF"/>
              </w:rPr>
              <w:t>European Journal of Pharmaceutics and Biopharmaceutics</w:t>
            </w:r>
            <w:r>
              <w:rPr>
                <w:rFonts w:ascii="Arial" w:hAnsi="Arial" w:cs="Arial"/>
                <w:color w:val="222222"/>
                <w:shd w:val="clear" w:color="auto" w:fill="FFFFFF"/>
              </w:rPr>
              <w:t>, </w:t>
            </w:r>
            <w:r>
              <w:rPr>
                <w:rFonts w:ascii="Arial" w:hAnsi="Arial" w:cs="Arial"/>
                <w:i/>
                <w:iCs/>
                <w:color w:val="222222"/>
                <w:shd w:val="clear" w:color="auto" w:fill="FFFFFF"/>
              </w:rPr>
              <w:t>80</w:t>
            </w:r>
            <w:r>
              <w:rPr>
                <w:rFonts w:ascii="Arial" w:hAnsi="Arial" w:cs="Arial"/>
                <w:color w:val="222222"/>
                <w:shd w:val="clear" w:color="auto" w:fill="FFFFFF"/>
              </w:rPr>
              <w:t>(1), 226-234.</w:t>
            </w:r>
          </w:p>
          <w:p w14:paraId="4B507B29"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Lebrun, P., Giacoletti, K., Scherder, T., Rozet, E., &amp; Boulanger, B. (2015). A quality by design approach for longitudinal quality attributes.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25</w:t>
            </w:r>
            <w:r>
              <w:rPr>
                <w:rFonts w:ascii="Arial" w:hAnsi="Arial" w:cs="Arial"/>
                <w:color w:val="222222"/>
                <w:shd w:val="clear" w:color="auto" w:fill="FFFFFF"/>
              </w:rPr>
              <w:t>(2), 247-259.</w:t>
            </w:r>
          </w:p>
          <w:p w14:paraId="6991A604" w14:textId="77777777" w:rsidR="00247B5E" w:rsidRPr="00247B5E" w:rsidRDefault="00247B5E" w:rsidP="00247B5E">
            <w:pPr>
              <w:numPr>
                <w:ilvl w:val="0"/>
                <w:numId w:val="32"/>
              </w:numPr>
              <w:autoSpaceDE w:val="0"/>
              <w:autoSpaceDN w:val="0"/>
              <w:adjustRightInd w:val="0"/>
              <w:spacing w:line="240" w:lineRule="atLeast"/>
              <w:ind w:left="702" w:right="-108"/>
              <w:rPr>
                <w:rFonts w:ascii="Calibri" w:hAnsi="Calibri"/>
              </w:rPr>
            </w:pPr>
            <w:r w:rsidRPr="00DF35CE">
              <w:rPr>
                <w:rFonts w:ascii="Arial" w:hAnsi="Arial" w:cs="Arial"/>
                <w:color w:val="222222"/>
                <w:shd w:val="clear" w:color="auto" w:fill="FFFFFF"/>
                <w:lang w:val="fr-BE"/>
              </w:rPr>
              <w:t xml:space="preserve">Lebrun, P., Sondag, P., Lories, X., Michiels, J. F., Rozet, E., &amp; Boulanger, B. (2018). </w:t>
            </w:r>
            <w:r>
              <w:rPr>
                <w:rFonts w:ascii="Arial" w:hAnsi="Arial" w:cs="Arial"/>
                <w:color w:val="222222"/>
                <w:shd w:val="clear" w:color="auto" w:fill="FFFFFF"/>
              </w:rPr>
              <w:t>Quality by design applied in formulation development and robustness. In </w:t>
            </w:r>
            <w:r>
              <w:rPr>
                <w:rFonts w:ascii="Arial" w:hAnsi="Arial" w:cs="Arial"/>
                <w:i/>
                <w:iCs/>
                <w:color w:val="222222"/>
                <w:shd w:val="clear" w:color="auto" w:fill="FFFFFF"/>
              </w:rPr>
              <w:t>Statistics for Biotechnology Process Development</w:t>
            </w:r>
            <w:r>
              <w:rPr>
                <w:rFonts w:ascii="Arial" w:hAnsi="Arial" w:cs="Arial"/>
                <w:color w:val="222222"/>
                <w:shd w:val="clear" w:color="auto" w:fill="FFFFFF"/>
              </w:rPr>
              <w:t> (pp. 89-104). Chapman and Hall/CRC.</w:t>
            </w:r>
          </w:p>
          <w:p w14:paraId="139AC44B"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Miro-Quesada, G., Del Castillo, E., &amp; Peterson, J. J. (2004). A Bayesian approach for multiple response surface optimization in the presence of noise variables. </w:t>
            </w:r>
            <w:r>
              <w:rPr>
                <w:rFonts w:ascii="Arial" w:hAnsi="Arial" w:cs="Arial"/>
                <w:i/>
                <w:iCs/>
                <w:color w:val="222222"/>
                <w:shd w:val="clear" w:color="auto" w:fill="FFFFFF"/>
              </w:rPr>
              <w:t>Journal of applied statistics</w:t>
            </w:r>
            <w:r>
              <w:rPr>
                <w:rFonts w:ascii="Arial" w:hAnsi="Arial" w:cs="Arial"/>
                <w:color w:val="222222"/>
                <w:shd w:val="clear" w:color="auto" w:fill="FFFFFF"/>
              </w:rPr>
              <w:t>, </w:t>
            </w:r>
            <w:r>
              <w:rPr>
                <w:rFonts w:ascii="Arial" w:hAnsi="Arial" w:cs="Arial"/>
                <w:i/>
                <w:iCs/>
                <w:color w:val="222222"/>
                <w:shd w:val="clear" w:color="auto" w:fill="FFFFFF"/>
              </w:rPr>
              <w:t>31</w:t>
            </w:r>
            <w:r>
              <w:rPr>
                <w:rFonts w:ascii="Arial" w:hAnsi="Arial" w:cs="Arial"/>
                <w:color w:val="222222"/>
                <w:shd w:val="clear" w:color="auto" w:fill="FFFFFF"/>
              </w:rPr>
              <w:t>(3), 251-270.</w:t>
            </w:r>
          </w:p>
          <w:p w14:paraId="336926BF" w14:textId="77777777" w:rsidR="00247B5E" w:rsidRPr="00247B5E" w:rsidRDefault="00247B5E" w:rsidP="00247B5E">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Montes, R. O., Burdick, R. K., &amp; Leblond, D. J. (2019). Simple Approach to Calculate Random Effects Model Tolerance Intervals to Set Release and Shelf-Life Specification Limits of Pharmaceutical Products.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73</w:t>
            </w:r>
            <w:r>
              <w:rPr>
                <w:rFonts w:ascii="Arial" w:hAnsi="Arial" w:cs="Arial"/>
                <w:color w:val="222222"/>
                <w:shd w:val="clear" w:color="auto" w:fill="FFFFFF"/>
              </w:rPr>
              <w:t>(1), 39-59.</w:t>
            </w:r>
          </w:p>
          <w:p w14:paraId="64003B63" w14:textId="77777777" w:rsidR="006B483F" w:rsidRPr="009C0A6C" w:rsidRDefault="006B483F" w:rsidP="00247B5E">
            <w:pPr>
              <w:numPr>
                <w:ilvl w:val="0"/>
                <w:numId w:val="32"/>
              </w:numPr>
              <w:autoSpaceDE w:val="0"/>
              <w:autoSpaceDN w:val="0"/>
              <w:adjustRightInd w:val="0"/>
              <w:spacing w:line="240" w:lineRule="atLeast"/>
              <w:ind w:left="702" w:right="-108"/>
              <w:rPr>
                <w:rFonts w:ascii="Calibri" w:hAnsi="Calibri"/>
              </w:rPr>
            </w:pPr>
            <w:r w:rsidRPr="00247B5E">
              <w:rPr>
                <w:rFonts w:ascii="Arial" w:hAnsi="Arial" w:cs="Arial"/>
                <w:color w:val="222222"/>
                <w:shd w:val="clear" w:color="auto" w:fill="FFFFFF"/>
              </w:rPr>
              <w:t>Novick, S. J., Yang, H., &amp; Peterson, J. J. (2012). A Bayesian approach to parallelism testing in bioassay. </w:t>
            </w:r>
            <w:r w:rsidRPr="00247B5E">
              <w:rPr>
                <w:rFonts w:ascii="Arial" w:hAnsi="Arial" w:cs="Arial"/>
                <w:i/>
                <w:iCs/>
                <w:color w:val="222222"/>
                <w:shd w:val="clear" w:color="auto" w:fill="FFFFFF"/>
              </w:rPr>
              <w:t>Statistics in biopharmaceutical research</w:t>
            </w:r>
            <w:r w:rsidRPr="00247B5E">
              <w:rPr>
                <w:rFonts w:ascii="Arial" w:hAnsi="Arial" w:cs="Arial"/>
                <w:color w:val="222222"/>
                <w:shd w:val="clear" w:color="auto" w:fill="FFFFFF"/>
              </w:rPr>
              <w:t>, </w:t>
            </w:r>
            <w:r w:rsidRPr="00247B5E">
              <w:rPr>
                <w:rFonts w:ascii="Arial" w:hAnsi="Arial" w:cs="Arial"/>
                <w:i/>
                <w:iCs/>
                <w:color w:val="222222"/>
                <w:shd w:val="clear" w:color="auto" w:fill="FFFFFF"/>
              </w:rPr>
              <w:t>4</w:t>
            </w:r>
            <w:r w:rsidRPr="00247B5E">
              <w:rPr>
                <w:rFonts w:ascii="Arial" w:hAnsi="Arial" w:cs="Arial"/>
                <w:color w:val="222222"/>
                <w:shd w:val="clear" w:color="auto" w:fill="FFFFFF"/>
              </w:rPr>
              <w:t>(4), 357-374.</w:t>
            </w:r>
          </w:p>
          <w:p w14:paraId="77F3222C" w14:textId="77777777" w:rsidR="00247B5E" w:rsidRPr="009C0A6C" w:rsidRDefault="00247B5E" w:rsidP="006B483F">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Novick, S., Sondag, P., Schofield, T., &amp; Miller, K. (2018). A novel method for qualification of a potency assay through partial computer simulation.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72</w:t>
            </w:r>
            <w:r>
              <w:rPr>
                <w:rFonts w:ascii="Arial" w:hAnsi="Arial" w:cs="Arial"/>
                <w:color w:val="222222"/>
                <w:shd w:val="clear" w:color="auto" w:fill="FFFFFF"/>
              </w:rPr>
              <w:t>(3), 249-263.</w:t>
            </w:r>
          </w:p>
          <w:p w14:paraId="4572F0B0" w14:textId="77777777" w:rsidR="006B483F" w:rsidRPr="009C0A6C" w:rsidRDefault="006B483F" w:rsidP="006B483F">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Novick, S., Shen, Y., Yang, H., Peterson, J., LeBlond, D., &amp; Altan, S. (2015). Dissolution curve comparisons through the F 2 parameter, a Bayesian extension of the f 2 statistic.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25</w:t>
            </w:r>
            <w:r>
              <w:rPr>
                <w:rFonts w:ascii="Arial" w:hAnsi="Arial" w:cs="Arial"/>
                <w:color w:val="222222"/>
                <w:shd w:val="clear" w:color="auto" w:fill="FFFFFF"/>
              </w:rPr>
              <w:t>(2), 351-371.</w:t>
            </w:r>
          </w:p>
          <w:p w14:paraId="65886FC5" w14:textId="77777777" w:rsidR="00247B5E" w:rsidRPr="009C0A6C" w:rsidRDefault="00247B5E"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Novick, S. J., Zhao, W., &amp; Yang, H. (2017). Setting Alert and Action Limits in the Presence of Significant Amount of Censoring in Data.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71</w:t>
            </w:r>
            <w:r>
              <w:rPr>
                <w:rFonts w:ascii="Arial" w:hAnsi="Arial" w:cs="Arial"/>
                <w:color w:val="222222"/>
                <w:shd w:val="clear" w:color="auto" w:fill="FFFFFF"/>
              </w:rPr>
              <w:t>(1), 20-32.</w:t>
            </w:r>
          </w:p>
          <w:p w14:paraId="3E34BE9F" w14:textId="77777777" w:rsidR="00247B5E" w:rsidRPr="00247B5E" w:rsidRDefault="00247B5E" w:rsidP="00247B5E">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(2008). A Bayesian approach to the ICH Q8 definition of design space.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18</w:t>
            </w:r>
            <w:r>
              <w:rPr>
                <w:rFonts w:ascii="Arial" w:hAnsi="Arial" w:cs="Arial"/>
                <w:color w:val="222222"/>
                <w:shd w:val="clear" w:color="auto" w:fill="FFFFFF"/>
              </w:rPr>
              <w:t>(5), 959-975.</w:t>
            </w:r>
          </w:p>
          <w:p w14:paraId="08819C60"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(2004). A posterior predictive approach to multiple response surface optimization. </w:t>
            </w:r>
            <w:r>
              <w:rPr>
                <w:rFonts w:ascii="Arial" w:hAnsi="Arial" w:cs="Arial"/>
                <w:i/>
                <w:iCs/>
                <w:color w:val="222222"/>
                <w:shd w:val="clear" w:color="auto" w:fill="FFFFFF"/>
              </w:rPr>
              <w:t>Journal of Quality Technology</w:t>
            </w:r>
            <w:r>
              <w:rPr>
                <w:rFonts w:ascii="Arial" w:hAnsi="Arial" w:cs="Arial"/>
                <w:color w:val="222222"/>
                <w:shd w:val="clear" w:color="auto" w:fill="FFFFFF"/>
              </w:rPr>
              <w:t>, </w:t>
            </w:r>
            <w:r>
              <w:rPr>
                <w:rFonts w:ascii="Arial" w:hAnsi="Arial" w:cs="Arial"/>
                <w:i/>
                <w:iCs/>
                <w:color w:val="222222"/>
                <w:shd w:val="clear" w:color="auto" w:fill="FFFFFF"/>
              </w:rPr>
              <w:t>36</w:t>
            </w:r>
            <w:r>
              <w:rPr>
                <w:rFonts w:ascii="Arial" w:hAnsi="Arial" w:cs="Arial"/>
                <w:color w:val="222222"/>
                <w:shd w:val="clear" w:color="auto" w:fill="FFFFFF"/>
              </w:rPr>
              <w:t>(2), 139-153.</w:t>
            </w:r>
          </w:p>
          <w:p w14:paraId="6F58D4B5"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Miro-Quesada, G., &amp; del Castillo, E. (2009). A Bayesian reliability approach to multiple response optimization with seemingly unrelated regression models. </w:t>
            </w:r>
            <w:r>
              <w:rPr>
                <w:rFonts w:ascii="Arial" w:hAnsi="Arial" w:cs="Arial"/>
                <w:i/>
                <w:iCs/>
                <w:color w:val="222222"/>
                <w:shd w:val="clear" w:color="auto" w:fill="FFFFFF"/>
              </w:rPr>
              <w:t>Quality Technology &amp; Quantitative Management</w:t>
            </w:r>
            <w:r>
              <w:rPr>
                <w:rFonts w:ascii="Arial" w:hAnsi="Arial" w:cs="Arial"/>
                <w:color w:val="222222"/>
                <w:shd w:val="clear" w:color="auto" w:fill="FFFFFF"/>
              </w:rPr>
              <w:t>, </w:t>
            </w:r>
            <w:r>
              <w:rPr>
                <w:rFonts w:ascii="Arial" w:hAnsi="Arial" w:cs="Arial"/>
                <w:i/>
                <w:iCs/>
                <w:color w:val="222222"/>
                <w:shd w:val="clear" w:color="auto" w:fill="FFFFFF"/>
              </w:rPr>
              <w:t>6</w:t>
            </w:r>
            <w:r>
              <w:rPr>
                <w:rFonts w:ascii="Arial" w:hAnsi="Arial" w:cs="Arial"/>
                <w:color w:val="222222"/>
                <w:shd w:val="clear" w:color="auto" w:fill="FFFFFF"/>
              </w:rPr>
              <w:t>(4), 353-369.</w:t>
            </w:r>
          </w:p>
          <w:p w14:paraId="3DE508AF"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lastRenderedPageBreak/>
              <w:t>Peterson, J. J., &amp; Yahyah, M. (2009). A Bayesian design space approach to robustness and system suitability for pharmaceutical assays and other processes. </w:t>
            </w:r>
            <w:r>
              <w:rPr>
                <w:rFonts w:ascii="Arial" w:hAnsi="Arial" w:cs="Arial"/>
                <w:i/>
                <w:iCs/>
                <w:color w:val="222222"/>
                <w:shd w:val="clear" w:color="auto" w:fill="FFFFFF"/>
              </w:rPr>
              <w:t>Statistics in Biopharmaceutical Research</w:t>
            </w:r>
            <w:r>
              <w:rPr>
                <w:rFonts w:ascii="Arial" w:hAnsi="Arial" w:cs="Arial"/>
                <w:color w:val="222222"/>
                <w:shd w:val="clear" w:color="auto" w:fill="FFFFFF"/>
              </w:rPr>
              <w:t>, </w:t>
            </w:r>
            <w:r>
              <w:rPr>
                <w:rFonts w:ascii="Arial" w:hAnsi="Arial" w:cs="Arial"/>
                <w:i/>
                <w:iCs/>
                <w:color w:val="222222"/>
                <w:shd w:val="clear" w:color="auto" w:fill="FFFFFF"/>
              </w:rPr>
              <w:t>1</w:t>
            </w:r>
            <w:r>
              <w:rPr>
                <w:rFonts w:ascii="Arial" w:hAnsi="Arial" w:cs="Arial"/>
                <w:color w:val="222222"/>
                <w:shd w:val="clear" w:color="auto" w:fill="FFFFFF"/>
              </w:rPr>
              <w:t>(4), 441-449.</w:t>
            </w:r>
          </w:p>
          <w:p w14:paraId="168AEED4"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Peterson, J. J., &amp; Lief, K. (2010). The ICH Q8 definition of design space: A comparison of the overlapping means and the Bayesian predictive approaches. </w:t>
            </w:r>
            <w:r>
              <w:rPr>
                <w:rFonts w:ascii="Arial" w:hAnsi="Arial" w:cs="Arial"/>
                <w:i/>
                <w:iCs/>
                <w:color w:val="222222"/>
                <w:shd w:val="clear" w:color="auto" w:fill="FFFFFF"/>
              </w:rPr>
              <w:t>Statistics in Biopharmaceutical Research</w:t>
            </w:r>
            <w:r>
              <w:rPr>
                <w:rFonts w:ascii="Arial" w:hAnsi="Arial" w:cs="Arial"/>
                <w:color w:val="222222"/>
                <w:shd w:val="clear" w:color="auto" w:fill="FFFFFF"/>
              </w:rPr>
              <w:t>, </w:t>
            </w:r>
            <w:r>
              <w:rPr>
                <w:rFonts w:ascii="Arial" w:hAnsi="Arial" w:cs="Arial"/>
                <w:i/>
                <w:iCs/>
                <w:color w:val="222222"/>
                <w:shd w:val="clear" w:color="auto" w:fill="FFFFFF"/>
              </w:rPr>
              <w:t>2</w:t>
            </w:r>
            <w:r>
              <w:rPr>
                <w:rFonts w:ascii="Arial" w:hAnsi="Arial" w:cs="Arial"/>
                <w:color w:val="222222"/>
                <w:shd w:val="clear" w:color="auto" w:fill="FFFFFF"/>
              </w:rPr>
              <w:t>(2), 249-259.</w:t>
            </w:r>
          </w:p>
          <w:p w14:paraId="6AF8F8E7"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Rozet, E., Govaerts, B., Lebrun, P., Michail, K., Ziemons, E., Wintersteiger, R., ... &amp; Hubert, P. (2011). Evaluating the reliability of analytical results using a probability criterion: A Bayesian perspective. </w:t>
            </w:r>
            <w:r>
              <w:rPr>
                <w:rFonts w:ascii="Arial" w:hAnsi="Arial" w:cs="Arial"/>
                <w:i/>
                <w:iCs/>
                <w:color w:val="222222"/>
                <w:shd w:val="clear" w:color="auto" w:fill="FFFFFF"/>
              </w:rPr>
              <w:t>Analytica chimica acta</w:t>
            </w:r>
            <w:r>
              <w:rPr>
                <w:rFonts w:ascii="Arial" w:hAnsi="Arial" w:cs="Arial"/>
                <w:color w:val="222222"/>
                <w:shd w:val="clear" w:color="auto" w:fill="FFFFFF"/>
              </w:rPr>
              <w:t>, </w:t>
            </w:r>
            <w:r>
              <w:rPr>
                <w:rFonts w:ascii="Arial" w:hAnsi="Arial" w:cs="Arial"/>
                <w:i/>
                <w:iCs/>
                <w:color w:val="222222"/>
                <w:shd w:val="clear" w:color="auto" w:fill="FFFFFF"/>
              </w:rPr>
              <w:t>705</w:t>
            </w:r>
            <w:r>
              <w:rPr>
                <w:rFonts w:ascii="Arial" w:hAnsi="Arial" w:cs="Arial"/>
                <w:color w:val="222222"/>
                <w:shd w:val="clear" w:color="auto" w:fill="FFFFFF"/>
              </w:rPr>
              <w:t>(1), 193-206.</w:t>
            </w:r>
          </w:p>
          <w:p w14:paraId="6C71B777" w14:textId="77777777"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sidRPr="00DF35CE">
              <w:rPr>
                <w:rFonts w:ascii="Arial" w:hAnsi="Arial" w:cs="Arial"/>
                <w:color w:val="222222"/>
                <w:shd w:val="clear" w:color="auto" w:fill="FFFFFF"/>
                <w:lang w:val="fr-BE"/>
              </w:rPr>
              <w:t xml:space="preserve">Rozet, E., Lebrun, P., Michiels, J. F., Sondag, P., Scherder, T., &amp; Boulanger, B. (2015). </w:t>
            </w:r>
            <w:r>
              <w:rPr>
                <w:rFonts w:ascii="Arial" w:hAnsi="Arial" w:cs="Arial"/>
                <w:color w:val="222222"/>
                <w:shd w:val="clear" w:color="auto" w:fill="FFFFFF"/>
              </w:rPr>
              <w:t>Analytical procedure validation and the quality by design paradigm. </w:t>
            </w:r>
            <w:r>
              <w:rPr>
                <w:rFonts w:ascii="Arial" w:hAnsi="Arial" w:cs="Arial"/>
                <w:i/>
                <w:iCs/>
                <w:color w:val="222222"/>
                <w:shd w:val="clear" w:color="auto" w:fill="FFFFFF"/>
              </w:rPr>
              <w:t>Journal of biopharmaceutical statistics</w:t>
            </w:r>
            <w:r>
              <w:rPr>
                <w:rFonts w:ascii="Arial" w:hAnsi="Arial" w:cs="Arial"/>
                <w:color w:val="222222"/>
                <w:shd w:val="clear" w:color="auto" w:fill="FFFFFF"/>
              </w:rPr>
              <w:t>, </w:t>
            </w:r>
            <w:r>
              <w:rPr>
                <w:rFonts w:ascii="Arial" w:hAnsi="Arial" w:cs="Arial"/>
                <w:i/>
                <w:iCs/>
                <w:color w:val="222222"/>
                <w:shd w:val="clear" w:color="auto" w:fill="FFFFFF"/>
              </w:rPr>
              <w:t>25</w:t>
            </w:r>
            <w:r>
              <w:rPr>
                <w:rFonts w:ascii="Arial" w:hAnsi="Arial" w:cs="Arial"/>
                <w:color w:val="222222"/>
                <w:shd w:val="clear" w:color="auto" w:fill="FFFFFF"/>
              </w:rPr>
              <w:t>(2), 260-268.</w:t>
            </w:r>
          </w:p>
          <w:p w14:paraId="0468FE0B" w14:textId="511E78F2" w:rsidR="006E040C" w:rsidRDefault="006E040C" w:rsidP="00DC6553">
            <w:pPr>
              <w:numPr>
                <w:ilvl w:val="0"/>
                <w:numId w:val="32"/>
              </w:numPr>
              <w:autoSpaceDE w:val="0"/>
              <w:autoSpaceDN w:val="0"/>
              <w:adjustRightInd w:val="0"/>
              <w:spacing w:line="240" w:lineRule="atLeast"/>
              <w:ind w:left="702" w:right="-108"/>
              <w:rPr>
                <w:rFonts w:ascii="Arial" w:hAnsi="Arial" w:cs="Arial"/>
              </w:rPr>
            </w:pPr>
            <w:r>
              <w:rPr>
                <w:rFonts w:ascii="Arial" w:hAnsi="Arial" w:cs="Arial"/>
                <w:color w:val="222222"/>
                <w:shd w:val="clear" w:color="auto" w:fill="FFFFFF"/>
              </w:rPr>
              <w:t>Walley, R., Sherington, J., Rastrick, J., Detrait, E., Hanon, E., &amp; Watt, G. (2016). Using Bayesian analysis in repeated preclinical in vivo studies for a more effective use of animals. </w:t>
            </w:r>
            <w:r>
              <w:rPr>
                <w:rFonts w:ascii="Arial" w:hAnsi="Arial" w:cs="Arial"/>
                <w:i/>
                <w:iCs/>
                <w:color w:val="222222"/>
                <w:shd w:val="clear" w:color="auto" w:fill="FFFFFF"/>
              </w:rPr>
              <w:t>Pharmaceutical statistics</w:t>
            </w:r>
            <w:r>
              <w:rPr>
                <w:rFonts w:ascii="Arial" w:hAnsi="Arial" w:cs="Arial"/>
                <w:color w:val="222222"/>
                <w:shd w:val="clear" w:color="auto" w:fill="FFFFFF"/>
              </w:rPr>
              <w:t>, </w:t>
            </w:r>
            <w:r>
              <w:rPr>
                <w:rFonts w:ascii="Arial" w:hAnsi="Arial" w:cs="Arial"/>
                <w:i/>
                <w:iCs/>
                <w:color w:val="222222"/>
                <w:shd w:val="clear" w:color="auto" w:fill="FFFFFF"/>
              </w:rPr>
              <w:t>15</w:t>
            </w:r>
            <w:r>
              <w:rPr>
                <w:rFonts w:ascii="Arial" w:hAnsi="Arial" w:cs="Arial"/>
                <w:color w:val="222222"/>
                <w:shd w:val="clear" w:color="auto" w:fill="FFFFFF"/>
              </w:rPr>
              <w:t>(3), 277-285.</w:t>
            </w:r>
          </w:p>
          <w:p w14:paraId="2DA30D20" w14:textId="3E8160BD" w:rsidR="00DC6553" w:rsidRPr="005D7964" w:rsidRDefault="00DC6553" w:rsidP="00DC6553">
            <w:pPr>
              <w:numPr>
                <w:ilvl w:val="0"/>
                <w:numId w:val="32"/>
              </w:numPr>
              <w:autoSpaceDE w:val="0"/>
              <w:autoSpaceDN w:val="0"/>
              <w:adjustRightInd w:val="0"/>
              <w:spacing w:line="240" w:lineRule="atLeast"/>
              <w:ind w:left="702" w:right="-108"/>
              <w:rPr>
                <w:rFonts w:ascii="Arial" w:hAnsi="Arial" w:cs="Arial"/>
              </w:rPr>
            </w:pPr>
            <w:r w:rsidRPr="005D7964">
              <w:rPr>
                <w:rFonts w:ascii="Arial" w:hAnsi="Arial" w:cs="Arial"/>
              </w:rPr>
              <w:t xml:space="preserve">Yang, H. and Novick, S (2019).  Bayesian analysis with R for drug development: concepts, algorithms, and case studies.  Chapman &amp; Hall/CRC </w:t>
            </w:r>
          </w:p>
          <w:p w14:paraId="619852AE" w14:textId="5B3897F3" w:rsidR="006B483F" w:rsidRPr="009C0A6C"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Yang, H., &amp; Zhang, J. (2016). A Bayesian approach to residual host cell DNA safety assessment.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70</w:t>
            </w:r>
            <w:r>
              <w:rPr>
                <w:rFonts w:ascii="Arial" w:hAnsi="Arial" w:cs="Arial"/>
                <w:color w:val="222222"/>
                <w:shd w:val="clear" w:color="auto" w:fill="FFFFFF"/>
              </w:rPr>
              <w:t>(2), 157-162.</w:t>
            </w:r>
          </w:p>
          <w:p w14:paraId="2BA8C031" w14:textId="77777777" w:rsidR="00247B5E" w:rsidRPr="009C0A6C" w:rsidRDefault="00247B5E"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Yang, H. (2013). How many batches are needed for process validation under the new FDA guidance?. </w:t>
            </w:r>
            <w:r>
              <w:rPr>
                <w:rFonts w:ascii="Arial" w:hAnsi="Arial" w:cs="Arial"/>
                <w:i/>
                <w:iCs/>
                <w:color w:val="222222"/>
                <w:shd w:val="clear" w:color="auto" w:fill="FFFFFF"/>
              </w:rPr>
              <w:t>PDA journal of pharmaceutical science and technology</w:t>
            </w:r>
            <w:r>
              <w:rPr>
                <w:rFonts w:ascii="Arial" w:hAnsi="Arial" w:cs="Arial"/>
                <w:color w:val="222222"/>
                <w:shd w:val="clear" w:color="auto" w:fill="FFFFFF"/>
              </w:rPr>
              <w:t>, </w:t>
            </w:r>
            <w:r>
              <w:rPr>
                <w:rFonts w:ascii="Arial" w:hAnsi="Arial" w:cs="Arial"/>
                <w:i/>
                <w:iCs/>
                <w:color w:val="222222"/>
                <w:shd w:val="clear" w:color="auto" w:fill="FFFFFF"/>
              </w:rPr>
              <w:t>67</w:t>
            </w:r>
            <w:r>
              <w:rPr>
                <w:rFonts w:ascii="Arial" w:hAnsi="Arial" w:cs="Arial"/>
                <w:color w:val="222222"/>
                <w:shd w:val="clear" w:color="auto" w:fill="FFFFFF"/>
              </w:rPr>
              <w:t>(1), 53-62.</w:t>
            </w:r>
          </w:p>
          <w:p w14:paraId="34C28B0A" w14:textId="77777777" w:rsidR="005E5BEC" w:rsidRPr="005107F6" w:rsidRDefault="006B483F"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Zhang, L., Kuhn, M., Peers, I., &amp; Altan, S. (Eds.). (2016). </w:t>
            </w:r>
            <w:r>
              <w:rPr>
                <w:rFonts w:ascii="Arial" w:hAnsi="Arial" w:cs="Arial"/>
                <w:i/>
                <w:iCs/>
                <w:color w:val="222222"/>
                <w:shd w:val="clear" w:color="auto" w:fill="FFFFFF"/>
              </w:rPr>
              <w:t>Nonclinical statistics for pharmaceutical and biotechnology industries</w:t>
            </w:r>
            <w:r>
              <w:rPr>
                <w:rFonts w:ascii="Arial" w:hAnsi="Arial" w:cs="Arial"/>
                <w:color w:val="222222"/>
                <w:shd w:val="clear" w:color="auto" w:fill="FFFFFF"/>
              </w:rPr>
              <w:t> (pp. 3-17). Cham: Springer.</w:t>
            </w:r>
          </w:p>
          <w:p w14:paraId="03E1EF9F" w14:textId="1BBB52DE" w:rsidR="005107F6" w:rsidRPr="009C0A6C" w:rsidRDefault="005107F6" w:rsidP="00904F8B">
            <w:pPr>
              <w:numPr>
                <w:ilvl w:val="0"/>
                <w:numId w:val="32"/>
              </w:numPr>
              <w:autoSpaceDE w:val="0"/>
              <w:autoSpaceDN w:val="0"/>
              <w:adjustRightInd w:val="0"/>
              <w:spacing w:line="240" w:lineRule="atLeast"/>
              <w:ind w:left="702" w:right="-108"/>
              <w:rPr>
                <w:rFonts w:ascii="Calibri" w:hAnsi="Calibri"/>
              </w:rPr>
            </w:pPr>
            <w:r>
              <w:rPr>
                <w:rFonts w:ascii="Arial" w:hAnsi="Arial" w:cs="Arial"/>
                <w:color w:val="222222"/>
                <w:shd w:val="clear" w:color="auto" w:fill="FFFFFF"/>
              </w:rPr>
              <w:t>Zhang, L., &amp; Su, C. (2016). Introduction to Nonclinical Statistics for Pharmaceutical and Biotechnology Industries. In </w:t>
            </w:r>
            <w:r>
              <w:rPr>
                <w:rFonts w:ascii="Arial" w:hAnsi="Arial" w:cs="Arial"/>
                <w:i/>
                <w:iCs/>
                <w:color w:val="222222"/>
                <w:shd w:val="clear" w:color="auto" w:fill="FFFFFF"/>
              </w:rPr>
              <w:t>Nonclinical Statistics for Pharmaceutical and Biotechnology Industries</w:t>
            </w:r>
            <w:r>
              <w:rPr>
                <w:rFonts w:ascii="Arial" w:hAnsi="Arial" w:cs="Arial"/>
                <w:color w:val="222222"/>
                <w:shd w:val="clear" w:color="auto" w:fill="FFFFFF"/>
              </w:rPr>
              <w:t> (pp. 3-17). Springer, Cham.</w:t>
            </w:r>
          </w:p>
        </w:tc>
      </w:tr>
    </w:tbl>
    <w:p w14:paraId="0D902F98" w14:textId="77777777" w:rsidR="005E5BEC" w:rsidRPr="009C0A6C" w:rsidRDefault="005E5BEC">
      <w:pPr>
        <w:ind w:right="-108"/>
        <w:rPr>
          <w:rFonts w:ascii="Calibri" w:hAnsi="Calibri"/>
        </w:rPr>
      </w:pPr>
    </w:p>
    <w:sectPr w:rsidR="005E5BEC" w:rsidRPr="009C0A6C" w:rsidSect="00B228A3">
      <w:pgSz w:w="12240" w:h="15840"/>
      <w:pgMar w:top="547" w:right="720" w:bottom="54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6762C" w14:textId="77777777" w:rsidR="00DF45D1" w:rsidRDefault="00DF45D1">
      <w:r>
        <w:separator/>
      </w:r>
    </w:p>
  </w:endnote>
  <w:endnote w:type="continuationSeparator" w:id="0">
    <w:p w14:paraId="65E5CD48" w14:textId="77777777" w:rsidR="00DF45D1" w:rsidRDefault="00D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AdvTI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88A4A" w14:textId="77777777" w:rsidR="00DF45D1" w:rsidRDefault="00DF45D1">
      <w:r>
        <w:separator/>
      </w:r>
    </w:p>
  </w:footnote>
  <w:footnote w:type="continuationSeparator" w:id="0">
    <w:p w14:paraId="32466EF3" w14:textId="77777777" w:rsidR="00DF45D1" w:rsidRDefault="00DF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77D"/>
    <w:multiLevelType w:val="hybridMultilevel"/>
    <w:tmpl w:val="7CFA0326"/>
    <w:lvl w:ilvl="0" w:tplc="2A42A56C">
      <w:start w:val="1"/>
      <w:numFmt w:val="bullet"/>
      <w:lvlText w:val="•"/>
      <w:lvlJc w:val="left"/>
      <w:pPr>
        <w:tabs>
          <w:tab w:val="num" w:pos="720"/>
        </w:tabs>
        <w:ind w:left="720" w:hanging="360"/>
      </w:pPr>
      <w:rPr>
        <w:rFonts w:ascii="Times New Roman" w:hAnsi="Times New Roman" w:hint="default"/>
      </w:rPr>
    </w:lvl>
    <w:lvl w:ilvl="1" w:tplc="A61C00A0" w:tentative="1">
      <w:start w:val="1"/>
      <w:numFmt w:val="bullet"/>
      <w:lvlText w:val="•"/>
      <w:lvlJc w:val="left"/>
      <w:pPr>
        <w:tabs>
          <w:tab w:val="num" w:pos="1440"/>
        </w:tabs>
        <w:ind w:left="1440" w:hanging="360"/>
      </w:pPr>
      <w:rPr>
        <w:rFonts w:ascii="Times New Roman" w:hAnsi="Times New Roman" w:hint="default"/>
      </w:rPr>
    </w:lvl>
    <w:lvl w:ilvl="2" w:tplc="55C6F0BA" w:tentative="1">
      <w:start w:val="1"/>
      <w:numFmt w:val="bullet"/>
      <w:lvlText w:val="•"/>
      <w:lvlJc w:val="left"/>
      <w:pPr>
        <w:tabs>
          <w:tab w:val="num" w:pos="2160"/>
        </w:tabs>
        <w:ind w:left="2160" w:hanging="360"/>
      </w:pPr>
      <w:rPr>
        <w:rFonts w:ascii="Times New Roman" w:hAnsi="Times New Roman" w:hint="default"/>
      </w:rPr>
    </w:lvl>
    <w:lvl w:ilvl="3" w:tplc="C830704E" w:tentative="1">
      <w:start w:val="1"/>
      <w:numFmt w:val="bullet"/>
      <w:lvlText w:val="•"/>
      <w:lvlJc w:val="left"/>
      <w:pPr>
        <w:tabs>
          <w:tab w:val="num" w:pos="2880"/>
        </w:tabs>
        <w:ind w:left="2880" w:hanging="360"/>
      </w:pPr>
      <w:rPr>
        <w:rFonts w:ascii="Times New Roman" w:hAnsi="Times New Roman" w:hint="default"/>
      </w:rPr>
    </w:lvl>
    <w:lvl w:ilvl="4" w:tplc="DFF8C570" w:tentative="1">
      <w:start w:val="1"/>
      <w:numFmt w:val="bullet"/>
      <w:lvlText w:val="•"/>
      <w:lvlJc w:val="left"/>
      <w:pPr>
        <w:tabs>
          <w:tab w:val="num" w:pos="3600"/>
        </w:tabs>
        <w:ind w:left="3600" w:hanging="360"/>
      </w:pPr>
      <w:rPr>
        <w:rFonts w:ascii="Times New Roman" w:hAnsi="Times New Roman" w:hint="default"/>
      </w:rPr>
    </w:lvl>
    <w:lvl w:ilvl="5" w:tplc="FFC61AD8" w:tentative="1">
      <w:start w:val="1"/>
      <w:numFmt w:val="bullet"/>
      <w:lvlText w:val="•"/>
      <w:lvlJc w:val="left"/>
      <w:pPr>
        <w:tabs>
          <w:tab w:val="num" w:pos="4320"/>
        </w:tabs>
        <w:ind w:left="4320" w:hanging="360"/>
      </w:pPr>
      <w:rPr>
        <w:rFonts w:ascii="Times New Roman" w:hAnsi="Times New Roman" w:hint="default"/>
      </w:rPr>
    </w:lvl>
    <w:lvl w:ilvl="6" w:tplc="32C03D76" w:tentative="1">
      <w:start w:val="1"/>
      <w:numFmt w:val="bullet"/>
      <w:lvlText w:val="•"/>
      <w:lvlJc w:val="left"/>
      <w:pPr>
        <w:tabs>
          <w:tab w:val="num" w:pos="5040"/>
        </w:tabs>
        <w:ind w:left="5040" w:hanging="360"/>
      </w:pPr>
      <w:rPr>
        <w:rFonts w:ascii="Times New Roman" w:hAnsi="Times New Roman" w:hint="default"/>
      </w:rPr>
    </w:lvl>
    <w:lvl w:ilvl="7" w:tplc="60AE6FD6" w:tentative="1">
      <w:start w:val="1"/>
      <w:numFmt w:val="bullet"/>
      <w:lvlText w:val="•"/>
      <w:lvlJc w:val="left"/>
      <w:pPr>
        <w:tabs>
          <w:tab w:val="num" w:pos="5760"/>
        </w:tabs>
        <w:ind w:left="5760" w:hanging="360"/>
      </w:pPr>
      <w:rPr>
        <w:rFonts w:ascii="Times New Roman" w:hAnsi="Times New Roman" w:hint="default"/>
      </w:rPr>
    </w:lvl>
    <w:lvl w:ilvl="8" w:tplc="F42038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6D57FA"/>
    <w:multiLevelType w:val="hybridMultilevel"/>
    <w:tmpl w:val="C4408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6434D"/>
    <w:multiLevelType w:val="hybridMultilevel"/>
    <w:tmpl w:val="6ADABD8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3406EB3"/>
    <w:multiLevelType w:val="hybridMultilevel"/>
    <w:tmpl w:val="13562FB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5E53FB3"/>
    <w:multiLevelType w:val="hybridMultilevel"/>
    <w:tmpl w:val="0D4C69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D08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1765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6C27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403FD3"/>
    <w:multiLevelType w:val="hybridMultilevel"/>
    <w:tmpl w:val="9612C93E"/>
    <w:lvl w:ilvl="0" w:tplc="DCB6CD8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09634038"/>
    <w:multiLevelType w:val="hybridMultilevel"/>
    <w:tmpl w:val="CFBAA7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9377C6"/>
    <w:multiLevelType w:val="hybridMultilevel"/>
    <w:tmpl w:val="898ADB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F5337"/>
    <w:multiLevelType w:val="hybridMultilevel"/>
    <w:tmpl w:val="7556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0127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4111240"/>
    <w:multiLevelType w:val="hybridMultilevel"/>
    <w:tmpl w:val="B1A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52A7C"/>
    <w:multiLevelType w:val="hybridMultilevel"/>
    <w:tmpl w:val="2E6092FA"/>
    <w:lvl w:ilvl="0" w:tplc="0438430E">
      <w:start w:val="1"/>
      <w:numFmt w:val="bullet"/>
      <w:lvlText w:val="•"/>
      <w:lvlJc w:val="left"/>
      <w:pPr>
        <w:tabs>
          <w:tab w:val="num" w:pos="720"/>
        </w:tabs>
        <w:ind w:left="720" w:hanging="360"/>
      </w:pPr>
      <w:rPr>
        <w:rFonts w:ascii="Times New Roman" w:hAnsi="Times New Roman" w:hint="default"/>
      </w:rPr>
    </w:lvl>
    <w:lvl w:ilvl="1" w:tplc="C74C6290" w:tentative="1">
      <w:start w:val="1"/>
      <w:numFmt w:val="bullet"/>
      <w:lvlText w:val="•"/>
      <w:lvlJc w:val="left"/>
      <w:pPr>
        <w:tabs>
          <w:tab w:val="num" w:pos="1440"/>
        </w:tabs>
        <w:ind w:left="1440" w:hanging="360"/>
      </w:pPr>
      <w:rPr>
        <w:rFonts w:ascii="Times New Roman" w:hAnsi="Times New Roman" w:hint="default"/>
      </w:rPr>
    </w:lvl>
    <w:lvl w:ilvl="2" w:tplc="A5E2582C" w:tentative="1">
      <w:start w:val="1"/>
      <w:numFmt w:val="bullet"/>
      <w:lvlText w:val="•"/>
      <w:lvlJc w:val="left"/>
      <w:pPr>
        <w:tabs>
          <w:tab w:val="num" w:pos="2160"/>
        </w:tabs>
        <w:ind w:left="2160" w:hanging="360"/>
      </w:pPr>
      <w:rPr>
        <w:rFonts w:ascii="Times New Roman" w:hAnsi="Times New Roman" w:hint="default"/>
      </w:rPr>
    </w:lvl>
    <w:lvl w:ilvl="3" w:tplc="EECA5B1C" w:tentative="1">
      <w:start w:val="1"/>
      <w:numFmt w:val="bullet"/>
      <w:lvlText w:val="•"/>
      <w:lvlJc w:val="left"/>
      <w:pPr>
        <w:tabs>
          <w:tab w:val="num" w:pos="2880"/>
        </w:tabs>
        <w:ind w:left="2880" w:hanging="360"/>
      </w:pPr>
      <w:rPr>
        <w:rFonts w:ascii="Times New Roman" w:hAnsi="Times New Roman" w:hint="default"/>
      </w:rPr>
    </w:lvl>
    <w:lvl w:ilvl="4" w:tplc="D17E81AE" w:tentative="1">
      <w:start w:val="1"/>
      <w:numFmt w:val="bullet"/>
      <w:lvlText w:val="•"/>
      <w:lvlJc w:val="left"/>
      <w:pPr>
        <w:tabs>
          <w:tab w:val="num" w:pos="3600"/>
        </w:tabs>
        <w:ind w:left="3600" w:hanging="360"/>
      </w:pPr>
      <w:rPr>
        <w:rFonts w:ascii="Times New Roman" w:hAnsi="Times New Roman" w:hint="default"/>
      </w:rPr>
    </w:lvl>
    <w:lvl w:ilvl="5" w:tplc="73E6ABAE" w:tentative="1">
      <w:start w:val="1"/>
      <w:numFmt w:val="bullet"/>
      <w:lvlText w:val="•"/>
      <w:lvlJc w:val="left"/>
      <w:pPr>
        <w:tabs>
          <w:tab w:val="num" w:pos="4320"/>
        </w:tabs>
        <w:ind w:left="4320" w:hanging="360"/>
      </w:pPr>
      <w:rPr>
        <w:rFonts w:ascii="Times New Roman" w:hAnsi="Times New Roman" w:hint="default"/>
      </w:rPr>
    </w:lvl>
    <w:lvl w:ilvl="6" w:tplc="C964B3A0" w:tentative="1">
      <w:start w:val="1"/>
      <w:numFmt w:val="bullet"/>
      <w:lvlText w:val="•"/>
      <w:lvlJc w:val="left"/>
      <w:pPr>
        <w:tabs>
          <w:tab w:val="num" w:pos="5040"/>
        </w:tabs>
        <w:ind w:left="5040" w:hanging="360"/>
      </w:pPr>
      <w:rPr>
        <w:rFonts w:ascii="Times New Roman" w:hAnsi="Times New Roman" w:hint="default"/>
      </w:rPr>
    </w:lvl>
    <w:lvl w:ilvl="7" w:tplc="8BB4E36A" w:tentative="1">
      <w:start w:val="1"/>
      <w:numFmt w:val="bullet"/>
      <w:lvlText w:val="•"/>
      <w:lvlJc w:val="left"/>
      <w:pPr>
        <w:tabs>
          <w:tab w:val="num" w:pos="5760"/>
        </w:tabs>
        <w:ind w:left="5760" w:hanging="360"/>
      </w:pPr>
      <w:rPr>
        <w:rFonts w:ascii="Times New Roman" w:hAnsi="Times New Roman" w:hint="default"/>
      </w:rPr>
    </w:lvl>
    <w:lvl w:ilvl="8" w:tplc="0188F70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4F53F39"/>
    <w:multiLevelType w:val="hybridMultilevel"/>
    <w:tmpl w:val="58FC0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E0417C"/>
    <w:multiLevelType w:val="hybridMultilevel"/>
    <w:tmpl w:val="F2902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B005CF"/>
    <w:multiLevelType w:val="hybridMultilevel"/>
    <w:tmpl w:val="AE0E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B2B3E"/>
    <w:multiLevelType w:val="hybridMultilevel"/>
    <w:tmpl w:val="65E6A9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26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F4F3F5E"/>
    <w:multiLevelType w:val="hybridMultilevel"/>
    <w:tmpl w:val="FF7E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431C2"/>
    <w:multiLevelType w:val="hybridMultilevel"/>
    <w:tmpl w:val="07A8394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0D54170"/>
    <w:multiLevelType w:val="hybridMultilevel"/>
    <w:tmpl w:val="9E9A0F66"/>
    <w:lvl w:ilvl="0" w:tplc="0164CA2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21112F7B"/>
    <w:multiLevelType w:val="hybridMultilevel"/>
    <w:tmpl w:val="8D50D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8C7146"/>
    <w:multiLevelType w:val="hybridMultilevel"/>
    <w:tmpl w:val="BD9232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95339A"/>
    <w:multiLevelType w:val="hybridMultilevel"/>
    <w:tmpl w:val="1C9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0F6E1D"/>
    <w:multiLevelType w:val="hybridMultilevel"/>
    <w:tmpl w:val="4C9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D044D1"/>
    <w:multiLevelType w:val="hybridMultilevel"/>
    <w:tmpl w:val="A15853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1A6BD2"/>
    <w:multiLevelType w:val="singleLevel"/>
    <w:tmpl w:val="53AC735C"/>
    <w:lvl w:ilvl="0">
      <w:numFmt w:val="bullet"/>
      <w:lvlText w:val="-"/>
      <w:lvlJc w:val="left"/>
      <w:pPr>
        <w:tabs>
          <w:tab w:val="num" w:pos="360"/>
        </w:tabs>
        <w:ind w:left="144" w:hanging="144"/>
      </w:pPr>
      <w:rPr>
        <w:rFonts w:hint="default"/>
      </w:rPr>
    </w:lvl>
  </w:abstractNum>
  <w:abstractNum w:abstractNumId="29" w15:restartNumberingAfterBreak="0">
    <w:nsid w:val="31856E5A"/>
    <w:multiLevelType w:val="hybridMultilevel"/>
    <w:tmpl w:val="7B3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C46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1F407CA"/>
    <w:multiLevelType w:val="hybridMultilevel"/>
    <w:tmpl w:val="21DA1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3C07D44"/>
    <w:multiLevelType w:val="hybridMultilevel"/>
    <w:tmpl w:val="FDDEB4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0F5E33"/>
    <w:multiLevelType w:val="hybridMultilevel"/>
    <w:tmpl w:val="6812D4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481667D"/>
    <w:multiLevelType w:val="hybridMultilevel"/>
    <w:tmpl w:val="0CFC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4944E7B"/>
    <w:multiLevelType w:val="hybridMultilevel"/>
    <w:tmpl w:val="286A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C162C3"/>
    <w:multiLevelType w:val="multilevel"/>
    <w:tmpl w:val="949EF4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02A51FD"/>
    <w:multiLevelType w:val="hybridMultilevel"/>
    <w:tmpl w:val="4120D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1896B79"/>
    <w:multiLevelType w:val="hybridMultilevel"/>
    <w:tmpl w:val="C50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B763B9"/>
    <w:multiLevelType w:val="hybridMultilevel"/>
    <w:tmpl w:val="13E21A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7484FBB"/>
    <w:multiLevelType w:val="hybridMultilevel"/>
    <w:tmpl w:val="F66C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D164D"/>
    <w:multiLevelType w:val="hybridMultilevel"/>
    <w:tmpl w:val="993AAB8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2A67295"/>
    <w:multiLevelType w:val="hybridMultilevel"/>
    <w:tmpl w:val="C3F8B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65502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15:restartNumberingAfterBreak="0">
    <w:nsid w:val="563D25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6523F90"/>
    <w:multiLevelType w:val="hybridMultilevel"/>
    <w:tmpl w:val="64581ECE"/>
    <w:lvl w:ilvl="0" w:tplc="4CC810CE">
      <w:start w:val="1"/>
      <w:numFmt w:val="bullet"/>
      <w:lvlText w:val="•"/>
      <w:lvlJc w:val="left"/>
      <w:pPr>
        <w:tabs>
          <w:tab w:val="num" w:pos="720"/>
        </w:tabs>
        <w:ind w:left="720" w:hanging="360"/>
      </w:pPr>
      <w:rPr>
        <w:rFonts w:ascii="Arial" w:hAnsi="Arial" w:hint="default"/>
      </w:rPr>
    </w:lvl>
    <w:lvl w:ilvl="1" w:tplc="1F40558C" w:tentative="1">
      <w:start w:val="1"/>
      <w:numFmt w:val="bullet"/>
      <w:lvlText w:val="•"/>
      <w:lvlJc w:val="left"/>
      <w:pPr>
        <w:tabs>
          <w:tab w:val="num" w:pos="1440"/>
        </w:tabs>
        <w:ind w:left="1440" w:hanging="360"/>
      </w:pPr>
      <w:rPr>
        <w:rFonts w:ascii="Arial" w:hAnsi="Arial" w:hint="default"/>
      </w:rPr>
    </w:lvl>
    <w:lvl w:ilvl="2" w:tplc="701A16B2" w:tentative="1">
      <w:start w:val="1"/>
      <w:numFmt w:val="bullet"/>
      <w:lvlText w:val="•"/>
      <w:lvlJc w:val="left"/>
      <w:pPr>
        <w:tabs>
          <w:tab w:val="num" w:pos="2160"/>
        </w:tabs>
        <w:ind w:left="2160" w:hanging="360"/>
      </w:pPr>
      <w:rPr>
        <w:rFonts w:ascii="Arial" w:hAnsi="Arial" w:hint="default"/>
      </w:rPr>
    </w:lvl>
    <w:lvl w:ilvl="3" w:tplc="01A8051A" w:tentative="1">
      <w:start w:val="1"/>
      <w:numFmt w:val="bullet"/>
      <w:lvlText w:val="•"/>
      <w:lvlJc w:val="left"/>
      <w:pPr>
        <w:tabs>
          <w:tab w:val="num" w:pos="2880"/>
        </w:tabs>
        <w:ind w:left="2880" w:hanging="360"/>
      </w:pPr>
      <w:rPr>
        <w:rFonts w:ascii="Arial" w:hAnsi="Arial" w:hint="default"/>
      </w:rPr>
    </w:lvl>
    <w:lvl w:ilvl="4" w:tplc="F5D46AC4" w:tentative="1">
      <w:start w:val="1"/>
      <w:numFmt w:val="bullet"/>
      <w:lvlText w:val="•"/>
      <w:lvlJc w:val="left"/>
      <w:pPr>
        <w:tabs>
          <w:tab w:val="num" w:pos="3600"/>
        </w:tabs>
        <w:ind w:left="3600" w:hanging="360"/>
      </w:pPr>
      <w:rPr>
        <w:rFonts w:ascii="Arial" w:hAnsi="Arial" w:hint="default"/>
      </w:rPr>
    </w:lvl>
    <w:lvl w:ilvl="5" w:tplc="5F20C3E8" w:tentative="1">
      <w:start w:val="1"/>
      <w:numFmt w:val="bullet"/>
      <w:lvlText w:val="•"/>
      <w:lvlJc w:val="left"/>
      <w:pPr>
        <w:tabs>
          <w:tab w:val="num" w:pos="4320"/>
        </w:tabs>
        <w:ind w:left="4320" w:hanging="360"/>
      </w:pPr>
      <w:rPr>
        <w:rFonts w:ascii="Arial" w:hAnsi="Arial" w:hint="default"/>
      </w:rPr>
    </w:lvl>
    <w:lvl w:ilvl="6" w:tplc="13DE7DFC" w:tentative="1">
      <w:start w:val="1"/>
      <w:numFmt w:val="bullet"/>
      <w:lvlText w:val="•"/>
      <w:lvlJc w:val="left"/>
      <w:pPr>
        <w:tabs>
          <w:tab w:val="num" w:pos="5040"/>
        </w:tabs>
        <w:ind w:left="5040" w:hanging="360"/>
      </w:pPr>
      <w:rPr>
        <w:rFonts w:ascii="Arial" w:hAnsi="Arial" w:hint="default"/>
      </w:rPr>
    </w:lvl>
    <w:lvl w:ilvl="7" w:tplc="C31ECAF4" w:tentative="1">
      <w:start w:val="1"/>
      <w:numFmt w:val="bullet"/>
      <w:lvlText w:val="•"/>
      <w:lvlJc w:val="left"/>
      <w:pPr>
        <w:tabs>
          <w:tab w:val="num" w:pos="5760"/>
        </w:tabs>
        <w:ind w:left="5760" w:hanging="360"/>
      </w:pPr>
      <w:rPr>
        <w:rFonts w:ascii="Arial" w:hAnsi="Arial" w:hint="default"/>
      </w:rPr>
    </w:lvl>
    <w:lvl w:ilvl="8" w:tplc="6A72159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E2201EB"/>
    <w:multiLevelType w:val="hybridMultilevel"/>
    <w:tmpl w:val="60621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486B83"/>
    <w:multiLevelType w:val="multilevel"/>
    <w:tmpl w:val="949EF4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65C17529"/>
    <w:multiLevelType w:val="hybridMultilevel"/>
    <w:tmpl w:val="02B4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D47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08B60BC"/>
    <w:multiLevelType w:val="hybridMultilevel"/>
    <w:tmpl w:val="D118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2927E5"/>
    <w:multiLevelType w:val="hybridMultilevel"/>
    <w:tmpl w:val="4816E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CA41F9"/>
    <w:multiLevelType w:val="hybridMultilevel"/>
    <w:tmpl w:val="40E612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D85E9C"/>
    <w:multiLevelType w:val="hybridMultilevel"/>
    <w:tmpl w:val="C48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3C4C96"/>
    <w:multiLevelType w:val="hybridMultilevel"/>
    <w:tmpl w:val="ABDEDD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5D19F8"/>
    <w:multiLevelType w:val="hybridMultilevel"/>
    <w:tmpl w:val="EFCE6F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7DFB619D"/>
    <w:multiLevelType w:val="hybridMultilevel"/>
    <w:tmpl w:val="0F5C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30"/>
  </w:num>
  <w:num w:numId="4">
    <w:abstractNumId w:val="49"/>
  </w:num>
  <w:num w:numId="5">
    <w:abstractNumId w:val="5"/>
  </w:num>
  <w:num w:numId="6">
    <w:abstractNumId w:val="12"/>
  </w:num>
  <w:num w:numId="7">
    <w:abstractNumId w:val="7"/>
  </w:num>
  <w:num w:numId="8">
    <w:abstractNumId w:val="28"/>
  </w:num>
  <w:num w:numId="9">
    <w:abstractNumId w:val="3"/>
  </w:num>
  <w:num w:numId="10">
    <w:abstractNumId w:val="1"/>
  </w:num>
  <w:num w:numId="11">
    <w:abstractNumId w:val="54"/>
  </w:num>
  <w:num w:numId="12">
    <w:abstractNumId w:val="4"/>
  </w:num>
  <w:num w:numId="13">
    <w:abstractNumId w:val="10"/>
  </w:num>
  <w:num w:numId="14">
    <w:abstractNumId w:val="32"/>
  </w:num>
  <w:num w:numId="15">
    <w:abstractNumId w:val="31"/>
  </w:num>
  <w:num w:numId="16">
    <w:abstractNumId w:val="39"/>
  </w:num>
  <w:num w:numId="17">
    <w:abstractNumId w:val="52"/>
  </w:num>
  <w:num w:numId="18">
    <w:abstractNumId w:val="27"/>
  </w:num>
  <w:num w:numId="19">
    <w:abstractNumId w:val="41"/>
  </w:num>
  <w:num w:numId="20">
    <w:abstractNumId w:val="18"/>
  </w:num>
  <w:num w:numId="21">
    <w:abstractNumId w:val="24"/>
  </w:num>
  <w:num w:numId="22">
    <w:abstractNumId w:val="43"/>
  </w:num>
  <w:num w:numId="23">
    <w:abstractNumId w:val="37"/>
  </w:num>
  <w:num w:numId="24">
    <w:abstractNumId w:val="9"/>
  </w:num>
  <w:num w:numId="25">
    <w:abstractNumId w:val="15"/>
  </w:num>
  <w:num w:numId="26">
    <w:abstractNumId w:val="33"/>
  </w:num>
  <w:num w:numId="27">
    <w:abstractNumId w:val="36"/>
  </w:num>
  <w:num w:numId="28">
    <w:abstractNumId w:val="47"/>
  </w:num>
  <w:num w:numId="29">
    <w:abstractNumId w:val="6"/>
  </w:num>
  <w:num w:numId="30">
    <w:abstractNumId w:val="25"/>
  </w:num>
  <w:num w:numId="31">
    <w:abstractNumId w:val="40"/>
  </w:num>
  <w:num w:numId="32">
    <w:abstractNumId w:val="23"/>
  </w:num>
  <w:num w:numId="33">
    <w:abstractNumId w:val="20"/>
  </w:num>
  <w:num w:numId="34">
    <w:abstractNumId w:val="34"/>
  </w:num>
  <w:num w:numId="35">
    <w:abstractNumId w:val="2"/>
  </w:num>
  <w:num w:numId="36">
    <w:abstractNumId w:val="38"/>
  </w:num>
  <w:num w:numId="37">
    <w:abstractNumId w:val="55"/>
  </w:num>
  <w:num w:numId="38">
    <w:abstractNumId w:val="0"/>
  </w:num>
  <w:num w:numId="39">
    <w:abstractNumId w:val="14"/>
  </w:num>
  <w:num w:numId="40">
    <w:abstractNumId w:val="21"/>
  </w:num>
  <w:num w:numId="41">
    <w:abstractNumId w:val="17"/>
  </w:num>
  <w:num w:numId="42">
    <w:abstractNumId w:val="46"/>
  </w:num>
  <w:num w:numId="43">
    <w:abstractNumId w:val="26"/>
  </w:num>
  <w:num w:numId="44">
    <w:abstractNumId w:val="45"/>
  </w:num>
  <w:num w:numId="45">
    <w:abstractNumId w:val="11"/>
  </w:num>
  <w:num w:numId="46">
    <w:abstractNumId w:val="48"/>
  </w:num>
  <w:num w:numId="47">
    <w:abstractNumId w:val="16"/>
  </w:num>
  <w:num w:numId="48">
    <w:abstractNumId w:val="53"/>
  </w:num>
  <w:num w:numId="49">
    <w:abstractNumId w:val="50"/>
  </w:num>
  <w:num w:numId="50">
    <w:abstractNumId w:val="35"/>
  </w:num>
  <w:num w:numId="51">
    <w:abstractNumId w:val="13"/>
  </w:num>
  <w:num w:numId="52">
    <w:abstractNumId w:val="29"/>
  </w:num>
  <w:num w:numId="53">
    <w:abstractNumId w:val="8"/>
  </w:num>
  <w:num w:numId="54">
    <w:abstractNumId w:val="22"/>
  </w:num>
  <w:num w:numId="55">
    <w:abstractNumId w:val="51"/>
  </w:num>
  <w:num w:numId="56">
    <w:abstractNumId w:val="56"/>
  </w:num>
  <w:num w:numId="57">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FE"/>
    <w:rsid w:val="000014C7"/>
    <w:rsid w:val="0000189A"/>
    <w:rsid w:val="0000424E"/>
    <w:rsid w:val="00005131"/>
    <w:rsid w:val="00017C02"/>
    <w:rsid w:val="000409B7"/>
    <w:rsid w:val="00040FF4"/>
    <w:rsid w:val="00042896"/>
    <w:rsid w:val="00050B1F"/>
    <w:rsid w:val="00053D77"/>
    <w:rsid w:val="00054476"/>
    <w:rsid w:val="000547CE"/>
    <w:rsid w:val="00055E36"/>
    <w:rsid w:val="000576C6"/>
    <w:rsid w:val="00060484"/>
    <w:rsid w:val="0006762F"/>
    <w:rsid w:val="0008259F"/>
    <w:rsid w:val="00084197"/>
    <w:rsid w:val="00090A1B"/>
    <w:rsid w:val="00097407"/>
    <w:rsid w:val="000A38A2"/>
    <w:rsid w:val="000A3E58"/>
    <w:rsid w:val="000B2FD9"/>
    <w:rsid w:val="000B7D4A"/>
    <w:rsid w:val="000D40C7"/>
    <w:rsid w:val="000E4377"/>
    <w:rsid w:val="000F02A5"/>
    <w:rsid w:val="000F7129"/>
    <w:rsid w:val="00102E6B"/>
    <w:rsid w:val="00106C89"/>
    <w:rsid w:val="00115C95"/>
    <w:rsid w:val="001243AD"/>
    <w:rsid w:val="00144A54"/>
    <w:rsid w:val="00145CD1"/>
    <w:rsid w:val="00170846"/>
    <w:rsid w:val="001805E8"/>
    <w:rsid w:val="00182EEA"/>
    <w:rsid w:val="00185E29"/>
    <w:rsid w:val="001A357B"/>
    <w:rsid w:val="001A3D98"/>
    <w:rsid w:val="001A4233"/>
    <w:rsid w:val="001A77D8"/>
    <w:rsid w:val="001C3655"/>
    <w:rsid w:val="001D433F"/>
    <w:rsid w:val="001D691D"/>
    <w:rsid w:val="001F7268"/>
    <w:rsid w:val="00216EE5"/>
    <w:rsid w:val="00225D71"/>
    <w:rsid w:val="00243A9F"/>
    <w:rsid w:val="00247B5E"/>
    <w:rsid w:val="00267C3D"/>
    <w:rsid w:val="00271A27"/>
    <w:rsid w:val="00291FB0"/>
    <w:rsid w:val="0029438C"/>
    <w:rsid w:val="002A7E5B"/>
    <w:rsid w:val="002B32AD"/>
    <w:rsid w:val="002B3636"/>
    <w:rsid w:val="002B78D0"/>
    <w:rsid w:val="002C5B11"/>
    <w:rsid w:val="002D1E33"/>
    <w:rsid w:val="002E1F03"/>
    <w:rsid w:val="002E2656"/>
    <w:rsid w:val="002E5A84"/>
    <w:rsid w:val="002F11F5"/>
    <w:rsid w:val="002F1B29"/>
    <w:rsid w:val="002F7DA8"/>
    <w:rsid w:val="00302FEC"/>
    <w:rsid w:val="003032D0"/>
    <w:rsid w:val="00304373"/>
    <w:rsid w:val="00322739"/>
    <w:rsid w:val="00332698"/>
    <w:rsid w:val="00355DC6"/>
    <w:rsid w:val="003561BB"/>
    <w:rsid w:val="003727B3"/>
    <w:rsid w:val="00386FAF"/>
    <w:rsid w:val="003874DE"/>
    <w:rsid w:val="00395FB9"/>
    <w:rsid w:val="003A2DA5"/>
    <w:rsid w:val="003A52A1"/>
    <w:rsid w:val="003A7902"/>
    <w:rsid w:val="003B5E93"/>
    <w:rsid w:val="003D4FC2"/>
    <w:rsid w:val="003E0AA4"/>
    <w:rsid w:val="003E2505"/>
    <w:rsid w:val="003E285E"/>
    <w:rsid w:val="003E48E0"/>
    <w:rsid w:val="003F250C"/>
    <w:rsid w:val="0040287F"/>
    <w:rsid w:val="00407CDF"/>
    <w:rsid w:val="004107BE"/>
    <w:rsid w:val="00412144"/>
    <w:rsid w:val="00417E44"/>
    <w:rsid w:val="00421F7A"/>
    <w:rsid w:val="0042679F"/>
    <w:rsid w:val="00440A0E"/>
    <w:rsid w:val="004410AC"/>
    <w:rsid w:val="00454AE1"/>
    <w:rsid w:val="00455934"/>
    <w:rsid w:val="00466540"/>
    <w:rsid w:val="00466E9D"/>
    <w:rsid w:val="0047118F"/>
    <w:rsid w:val="00476499"/>
    <w:rsid w:val="00481001"/>
    <w:rsid w:val="00496444"/>
    <w:rsid w:val="004A2A6E"/>
    <w:rsid w:val="004B0DBA"/>
    <w:rsid w:val="004C17C7"/>
    <w:rsid w:val="004C1E65"/>
    <w:rsid w:val="004C3EA5"/>
    <w:rsid w:val="004D39B6"/>
    <w:rsid w:val="004E0A26"/>
    <w:rsid w:val="004E7D37"/>
    <w:rsid w:val="004F0561"/>
    <w:rsid w:val="004F5444"/>
    <w:rsid w:val="005107F6"/>
    <w:rsid w:val="00515B3C"/>
    <w:rsid w:val="005347BD"/>
    <w:rsid w:val="00544E1D"/>
    <w:rsid w:val="00545D24"/>
    <w:rsid w:val="005523F2"/>
    <w:rsid w:val="005549A9"/>
    <w:rsid w:val="005556EA"/>
    <w:rsid w:val="00557EAA"/>
    <w:rsid w:val="0056303C"/>
    <w:rsid w:val="005674AC"/>
    <w:rsid w:val="0057449B"/>
    <w:rsid w:val="00583261"/>
    <w:rsid w:val="00584433"/>
    <w:rsid w:val="0058490B"/>
    <w:rsid w:val="0058553F"/>
    <w:rsid w:val="00587B5B"/>
    <w:rsid w:val="005915D1"/>
    <w:rsid w:val="00597A15"/>
    <w:rsid w:val="005C4993"/>
    <w:rsid w:val="005C609F"/>
    <w:rsid w:val="005D7964"/>
    <w:rsid w:val="005E5BEC"/>
    <w:rsid w:val="005F1E1E"/>
    <w:rsid w:val="005F637F"/>
    <w:rsid w:val="006060A7"/>
    <w:rsid w:val="0063306A"/>
    <w:rsid w:val="0063569A"/>
    <w:rsid w:val="006425A4"/>
    <w:rsid w:val="0064552A"/>
    <w:rsid w:val="006531ED"/>
    <w:rsid w:val="00655244"/>
    <w:rsid w:val="0065536E"/>
    <w:rsid w:val="006570C9"/>
    <w:rsid w:val="00671779"/>
    <w:rsid w:val="006726B8"/>
    <w:rsid w:val="0067323C"/>
    <w:rsid w:val="00674D2E"/>
    <w:rsid w:val="006A15F4"/>
    <w:rsid w:val="006A2C0C"/>
    <w:rsid w:val="006B36B1"/>
    <w:rsid w:val="006B3CC2"/>
    <w:rsid w:val="006B483F"/>
    <w:rsid w:val="006B5D1C"/>
    <w:rsid w:val="006C2BFB"/>
    <w:rsid w:val="006C2C83"/>
    <w:rsid w:val="006E040C"/>
    <w:rsid w:val="006E7ABA"/>
    <w:rsid w:val="006F56FC"/>
    <w:rsid w:val="006F5DC2"/>
    <w:rsid w:val="00700094"/>
    <w:rsid w:val="00711F35"/>
    <w:rsid w:val="00713B68"/>
    <w:rsid w:val="00716538"/>
    <w:rsid w:val="0072252E"/>
    <w:rsid w:val="007232DA"/>
    <w:rsid w:val="00724B06"/>
    <w:rsid w:val="00733401"/>
    <w:rsid w:val="00776289"/>
    <w:rsid w:val="0078591F"/>
    <w:rsid w:val="007947C3"/>
    <w:rsid w:val="00794FCC"/>
    <w:rsid w:val="007B4894"/>
    <w:rsid w:val="007B6A46"/>
    <w:rsid w:val="007B7F3E"/>
    <w:rsid w:val="007C0400"/>
    <w:rsid w:val="007C0676"/>
    <w:rsid w:val="007C7587"/>
    <w:rsid w:val="007D00BB"/>
    <w:rsid w:val="007D4B48"/>
    <w:rsid w:val="007E5094"/>
    <w:rsid w:val="007E6BEF"/>
    <w:rsid w:val="007F220A"/>
    <w:rsid w:val="00804966"/>
    <w:rsid w:val="00825AF1"/>
    <w:rsid w:val="008301B0"/>
    <w:rsid w:val="008346D5"/>
    <w:rsid w:val="00860013"/>
    <w:rsid w:val="00863F00"/>
    <w:rsid w:val="0087333A"/>
    <w:rsid w:val="008837A4"/>
    <w:rsid w:val="0088440A"/>
    <w:rsid w:val="00893777"/>
    <w:rsid w:val="008B3970"/>
    <w:rsid w:val="008B5446"/>
    <w:rsid w:val="008B63B7"/>
    <w:rsid w:val="00900A8D"/>
    <w:rsid w:val="00904F8B"/>
    <w:rsid w:val="00912462"/>
    <w:rsid w:val="009150B0"/>
    <w:rsid w:val="009451F7"/>
    <w:rsid w:val="00945FAA"/>
    <w:rsid w:val="009522B1"/>
    <w:rsid w:val="00956C3A"/>
    <w:rsid w:val="00966760"/>
    <w:rsid w:val="00974C59"/>
    <w:rsid w:val="00982B8F"/>
    <w:rsid w:val="009945D2"/>
    <w:rsid w:val="009A13B4"/>
    <w:rsid w:val="009C0A6C"/>
    <w:rsid w:val="009C667B"/>
    <w:rsid w:val="009D0A0F"/>
    <w:rsid w:val="009E22FE"/>
    <w:rsid w:val="009E239F"/>
    <w:rsid w:val="009E6DC9"/>
    <w:rsid w:val="00A1299A"/>
    <w:rsid w:val="00A22AF8"/>
    <w:rsid w:val="00A26315"/>
    <w:rsid w:val="00A27BE5"/>
    <w:rsid w:val="00A34FDA"/>
    <w:rsid w:val="00A36501"/>
    <w:rsid w:val="00A400AC"/>
    <w:rsid w:val="00A406B3"/>
    <w:rsid w:val="00A4229F"/>
    <w:rsid w:val="00A6458F"/>
    <w:rsid w:val="00A67395"/>
    <w:rsid w:val="00A90B78"/>
    <w:rsid w:val="00AB43D4"/>
    <w:rsid w:val="00AC5F40"/>
    <w:rsid w:val="00AD1016"/>
    <w:rsid w:val="00AD5F42"/>
    <w:rsid w:val="00AE0BC9"/>
    <w:rsid w:val="00B06A6B"/>
    <w:rsid w:val="00B20DD0"/>
    <w:rsid w:val="00B228A3"/>
    <w:rsid w:val="00B25532"/>
    <w:rsid w:val="00B31F5B"/>
    <w:rsid w:val="00B34367"/>
    <w:rsid w:val="00B56386"/>
    <w:rsid w:val="00B64AF7"/>
    <w:rsid w:val="00B83A8D"/>
    <w:rsid w:val="00B851CA"/>
    <w:rsid w:val="00BA2DD8"/>
    <w:rsid w:val="00BB3781"/>
    <w:rsid w:val="00BC6503"/>
    <w:rsid w:val="00BC7158"/>
    <w:rsid w:val="00BD288C"/>
    <w:rsid w:val="00BD3E66"/>
    <w:rsid w:val="00BF3C8B"/>
    <w:rsid w:val="00BF3F92"/>
    <w:rsid w:val="00BF6359"/>
    <w:rsid w:val="00BF73FB"/>
    <w:rsid w:val="00C30044"/>
    <w:rsid w:val="00C35003"/>
    <w:rsid w:val="00C357EA"/>
    <w:rsid w:val="00C52A96"/>
    <w:rsid w:val="00C61F51"/>
    <w:rsid w:val="00C63EF6"/>
    <w:rsid w:val="00C74CD0"/>
    <w:rsid w:val="00C81161"/>
    <w:rsid w:val="00C86C97"/>
    <w:rsid w:val="00CA36D2"/>
    <w:rsid w:val="00CA772C"/>
    <w:rsid w:val="00CB2B3B"/>
    <w:rsid w:val="00CB5DBC"/>
    <w:rsid w:val="00CB7495"/>
    <w:rsid w:val="00CC721F"/>
    <w:rsid w:val="00CD2D8C"/>
    <w:rsid w:val="00CD7665"/>
    <w:rsid w:val="00CE48B0"/>
    <w:rsid w:val="00CE7D07"/>
    <w:rsid w:val="00CF734A"/>
    <w:rsid w:val="00D03632"/>
    <w:rsid w:val="00D04BE1"/>
    <w:rsid w:val="00D23992"/>
    <w:rsid w:val="00D25259"/>
    <w:rsid w:val="00D35A47"/>
    <w:rsid w:val="00D36534"/>
    <w:rsid w:val="00D462B5"/>
    <w:rsid w:val="00D53336"/>
    <w:rsid w:val="00D66513"/>
    <w:rsid w:val="00D74F18"/>
    <w:rsid w:val="00D85127"/>
    <w:rsid w:val="00DA168B"/>
    <w:rsid w:val="00DC6553"/>
    <w:rsid w:val="00DC7D41"/>
    <w:rsid w:val="00DD4F04"/>
    <w:rsid w:val="00DD5926"/>
    <w:rsid w:val="00DD6607"/>
    <w:rsid w:val="00DD7AFC"/>
    <w:rsid w:val="00DD7DF5"/>
    <w:rsid w:val="00DF0EA4"/>
    <w:rsid w:val="00DF35CE"/>
    <w:rsid w:val="00DF45D1"/>
    <w:rsid w:val="00DF7251"/>
    <w:rsid w:val="00E00898"/>
    <w:rsid w:val="00E227C0"/>
    <w:rsid w:val="00E30FCE"/>
    <w:rsid w:val="00E4033A"/>
    <w:rsid w:val="00E4101B"/>
    <w:rsid w:val="00E53532"/>
    <w:rsid w:val="00E60391"/>
    <w:rsid w:val="00E62A2A"/>
    <w:rsid w:val="00E72589"/>
    <w:rsid w:val="00E85161"/>
    <w:rsid w:val="00E85420"/>
    <w:rsid w:val="00E86066"/>
    <w:rsid w:val="00EA0BE6"/>
    <w:rsid w:val="00EA5A59"/>
    <w:rsid w:val="00EB59B2"/>
    <w:rsid w:val="00EC4890"/>
    <w:rsid w:val="00ED236C"/>
    <w:rsid w:val="00EE12F6"/>
    <w:rsid w:val="00EE26EC"/>
    <w:rsid w:val="00EE5A69"/>
    <w:rsid w:val="00EE5E44"/>
    <w:rsid w:val="00EF1DAD"/>
    <w:rsid w:val="00EF3822"/>
    <w:rsid w:val="00EF6C3E"/>
    <w:rsid w:val="00F01D2A"/>
    <w:rsid w:val="00F051CE"/>
    <w:rsid w:val="00F13BB0"/>
    <w:rsid w:val="00F16F01"/>
    <w:rsid w:val="00F22BC2"/>
    <w:rsid w:val="00F252D7"/>
    <w:rsid w:val="00F362BF"/>
    <w:rsid w:val="00F4727A"/>
    <w:rsid w:val="00F76463"/>
    <w:rsid w:val="00F76E4D"/>
    <w:rsid w:val="00F775F2"/>
    <w:rsid w:val="00F813DA"/>
    <w:rsid w:val="00F909FD"/>
    <w:rsid w:val="00F95C2C"/>
    <w:rsid w:val="00FA4560"/>
    <w:rsid w:val="00FB7063"/>
    <w:rsid w:val="00FB7145"/>
    <w:rsid w:val="00FC08D3"/>
    <w:rsid w:val="00FC69D5"/>
    <w:rsid w:val="00FC6FC3"/>
    <w:rsid w:val="00FE2A83"/>
    <w:rsid w:val="00FE553F"/>
    <w:rsid w:val="00FF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C58323"/>
  <w15:chartTrackingRefBased/>
  <w15:docId w15:val="{6AF9B32F-2697-42A9-A875-E7CE51A4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8A3"/>
    <w:rPr>
      <w:lang w:eastAsia="ko-KR"/>
    </w:rPr>
  </w:style>
  <w:style w:type="paragraph" w:styleId="Heading1">
    <w:name w:val="heading 1"/>
    <w:basedOn w:val="Normal"/>
    <w:next w:val="Normal"/>
    <w:qFormat/>
    <w:rsid w:val="00B228A3"/>
    <w:pPr>
      <w:keepNext/>
      <w:tabs>
        <w:tab w:val="left" w:pos="5040"/>
      </w:tabs>
      <w:outlineLvl w:val="0"/>
    </w:pPr>
    <w:rPr>
      <w:rFonts w:ascii="Arial" w:hAnsi="Arial"/>
      <w:sz w:val="24"/>
    </w:rPr>
  </w:style>
  <w:style w:type="paragraph" w:styleId="Heading2">
    <w:name w:val="heading 2"/>
    <w:basedOn w:val="Normal"/>
    <w:next w:val="Normal"/>
    <w:qFormat/>
    <w:rsid w:val="00B228A3"/>
    <w:pPr>
      <w:keepNext/>
      <w:tabs>
        <w:tab w:val="left" w:pos="5040"/>
      </w:tabs>
      <w:ind w:right="-108"/>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28A3"/>
    <w:pPr>
      <w:tabs>
        <w:tab w:val="center" w:pos="4320"/>
        <w:tab w:val="right" w:pos="8640"/>
      </w:tabs>
    </w:pPr>
  </w:style>
  <w:style w:type="paragraph" w:styleId="Footer">
    <w:name w:val="footer"/>
    <w:basedOn w:val="Normal"/>
    <w:rsid w:val="00B228A3"/>
    <w:pPr>
      <w:tabs>
        <w:tab w:val="center" w:pos="4320"/>
        <w:tab w:val="right" w:pos="8640"/>
      </w:tabs>
    </w:pPr>
  </w:style>
  <w:style w:type="paragraph" w:styleId="BodyTextIndent">
    <w:name w:val="Body Text Indent"/>
    <w:basedOn w:val="Normal"/>
    <w:rsid w:val="00B228A3"/>
    <w:pPr>
      <w:ind w:left="1440" w:hanging="1440"/>
    </w:pPr>
    <w:rPr>
      <w:sz w:val="24"/>
      <w:szCs w:val="24"/>
      <w:lang w:eastAsia="en-US"/>
    </w:rPr>
  </w:style>
  <w:style w:type="paragraph" w:styleId="BodyText">
    <w:name w:val="Body Text"/>
    <w:basedOn w:val="Normal"/>
    <w:rsid w:val="00B228A3"/>
    <w:rPr>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rFonts w:cs="Times New Roman"/>
      <w:vertAlign w:val="superscript"/>
    </w:rPr>
  </w:style>
  <w:style w:type="paragraph" w:customStyle="1" w:styleId="Default">
    <w:name w:val="Default"/>
    <w:pPr>
      <w:autoSpaceDE w:val="0"/>
      <w:autoSpaceDN w:val="0"/>
      <w:adjustRightInd w:val="0"/>
    </w:pPr>
    <w:rPr>
      <w:rFonts w:ascii="Arial" w:hAnsi="Arial" w:cs="Arial"/>
      <w:color w:val="000000"/>
      <w:sz w:val="24"/>
      <w:szCs w:val="24"/>
      <w:lang w:eastAsia="ja-JP"/>
    </w:rPr>
  </w:style>
  <w:style w:type="character" w:styleId="CommentReference">
    <w:name w:val="annotation reference"/>
    <w:rPr>
      <w:rFonts w:cs="Times New Roman"/>
      <w:sz w:val="16"/>
      <w:szCs w:val="16"/>
    </w:rPr>
  </w:style>
  <w:style w:type="paragraph" w:styleId="CommentText">
    <w:name w:val="annotation text"/>
    <w:basedOn w:val="Normal"/>
    <w:link w:val="CommentTextChar"/>
  </w:style>
  <w:style w:type="character" w:customStyle="1" w:styleId="CommentTextChar">
    <w:name w:val="Comment Text Char"/>
    <w:link w:val="CommentText"/>
    <w:locked/>
    <w:rPr>
      <w:rFonts w:cs="Times New Roman"/>
      <w:lang w:val="x-none" w:eastAsia="ko-K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lang w:val="x-none" w:eastAsia="ko-KR"/>
    </w:rPr>
  </w:style>
  <w:style w:type="paragraph" w:customStyle="1" w:styleId="ColorfulList-Accent11">
    <w:name w:val="Colorful List - Accent 11"/>
    <w:basedOn w:val="Normal"/>
    <w:pPr>
      <w:ind w:left="720"/>
      <w:contextualSpacing/>
    </w:pPr>
    <w:rPr>
      <w:sz w:val="24"/>
      <w:szCs w:val="24"/>
      <w:lang w:eastAsia="en-US"/>
    </w:rPr>
  </w:style>
  <w:style w:type="paragraph" w:styleId="ListParagraph">
    <w:name w:val="List Paragraph"/>
    <w:basedOn w:val="Normal"/>
    <w:qFormat/>
    <w:rsid w:val="009945D2"/>
    <w:pPr>
      <w:ind w:left="720"/>
      <w:contextualSpacing/>
    </w:pPr>
    <w:rPr>
      <w:sz w:val="24"/>
      <w:szCs w:val="24"/>
      <w:lang w:eastAsia="en-US"/>
    </w:rPr>
  </w:style>
  <w:style w:type="character" w:customStyle="1" w:styleId="CharChar1">
    <w:name w:val="Char Char1"/>
    <w:locked/>
    <w:rsid w:val="00EA0BE6"/>
    <w:rPr>
      <w:rFonts w:cs="Times New Roman"/>
      <w:lang w:val="x-none" w:eastAsia="ko-KR"/>
    </w:rPr>
  </w:style>
  <w:style w:type="character" w:styleId="Hyperlink">
    <w:name w:val="Hyperlink"/>
    <w:rsid w:val="00EA0BE6"/>
    <w:rPr>
      <w:rFonts w:cs="Times New Roman"/>
      <w:color w:val="0000FF"/>
      <w:u w:val="single"/>
    </w:rPr>
  </w:style>
  <w:style w:type="paragraph" w:styleId="PlainText">
    <w:name w:val="Plain Text"/>
    <w:basedOn w:val="Normal"/>
    <w:link w:val="PlainTextChar"/>
    <w:uiPriority w:val="99"/>
    <w:unhideWhenUsed/>
    <w:rsid w:val="00DC7D41"/>
    <w:rPr>
      <w:rFonts w:ascii="Calibri" w:eastAsia="DengXian" w:hAnsi="Calibri" w:cs="Consolas"/>
      <w:sz w:val="22"/>
      <w:szCs w:val="21"/>
      <w:lang w:eastAsia="zh-CN"/>
    </w:rPr>
  </w:style>
  <w:style w:type="character" w:customStyle="1" w:styleId="PlainTextChar">
    <w:name w:val="Plain Text Char"/>
    <w:link w:val="PlainText"/>
    <w:uiPriority w:val="99"/>
    <w:rsid w:val="00DC7D41"/>
    <w:rPr>
      <w:rFonts w:ascii="Calibri" w:eastAsia="DengXian" w:hAnsi="Calibri" w:cs="Consolas"/>
      <w:sz w:val="22"/>
      <w:szCs w:val="21"/>
    </w:rPr>
  </w:style>
  <w:style w:type="character" w:customStyle="1" w:styleId="UnresolvedMention1">
    <w:name w:val="Unresolved Mention1"/>
    <w:uiPriority w:val="99"/>
    <w:semiHidden/>
    <w:unhideWhenUsed/>
    <w:rsid w:val="003E28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0">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54"/>
          <w:marBottom w:val="0"/>
          <w:divBdr>
            <w:top w:val="none" w:sz="0" w:space="0" w:color="auto"/>
            <w:left w:val="none" w:sz="0" w:space="0" w:color="auto"/>
            <w:bottom w:val="none" w:sz="0" w:space="0" w:color="auto"/>
            <w:right w:val="none" w:sz="0" w:space="0" w:color="auto"/>
          </w:divBdr>
        </w:div>
        <w:div w:id="4">
          <w:marLeft w:val="547"/>
          <w:marRight w:val="0"/>
          <w:marTop w:val="154"/>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15"/>
          <w:marBottom w:val="0"/>
          <w:divBdr>
            <w:top w:val="none" w:sz="0" w:space="0" w:color="auto"/>
            <w:left w:val="none" w:sz="0" w:space="0" w:color="auto"/>
            <w:bottom w:val="none" w:sz="0" w:space="0" w:color="auto"/>
            <w:right w:val="none" w:sz="0" w:space="0" w:color="auto"/>
          </w:divBdr>
        </w:div>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660740184">
      <w:bodyDiv w:val="1"/>
      <w:marLeft w:val="0"/>
      <w:marRight w:val="0"/>
      <w:marTop w:val="0"/>
      <w:marBottom w:val="0"/>
      <w:divBdr>
        <w:top w:val="none" w:sz="0" w:space="0" w:color="auto"/>
        <w:left w:val="none" w:sz="0" w:space="0" w:color="auto"/>
        <w:bottom w:val="none" w:sz="0" w:space="0" w:color="auto"/>
        <w:right w:val="none" w:sz="0" w:space="0" w:color="auto"/>
      </w:divBdr>
    </w:div>
    <w:div w:id="685640455">
      <w:bodyDiv w:val="1"/>
      <w:marLeft w:val="0"/>
      <w:marRight w:val="0"/>
      <w:marTop w:val="0"/>
      <w:marBottom w:val="0"/>
      <w:divBdr>
        <w:top w:val="none" w:sz="0" w:space="0" w:color="auto"/>
        <w:left w:val="none" w:sz="0" w:space="0" w:color="auto"/>
        <w:bottom w:val="none" w:sz="0" w:space="0" w:color="auto"/>
        <w:right w:val="none" w:sz="0" w:space="0" w:color="auto"/>
      </w:divBdr>
    </w:div>
    <w:div w:id="841890005">
      <w:bodyDiv w:val="1"/>
      <w:marLeft w:val="0"/>
      <w:marRight w:val="0"/>
      <w:marTop w:val="0"/>
      <w:marBottom w:val="0"/>
      <w:divBdr>
        <w:top w:val="none" w:sz="0" w:space="0" w:color="auto"/>
        <w:left w:val="none" w:sz="0" w:space="0" w:color="auto"/>
        <w:bottom w:val="none" w:sz="0" w:space="0" w:color="auto"/>
        <w:right w:val="none" w:sz="0" w:space="0" w:color="auto"/>
      </w:divBdr>
    </w:div>
    <w:div w:id="1186140461">
      <w:bodyDiv w:val="1"/>
      <w:marLeft w:val="0"/>
      <w:marRight w:val="0"/>
      <w:marTop w:val="0"/>
      <w:marBottom w:val="0"/>
      <w:divBdr>
        <w:top w:val="none" w:sz="0" w:space="0" w:color="auto"/>
        <w:left w:val="none" w:sz="0" w:space="0" w:color="auto"/>
        <w:bottom w:val="none" w:sz="0" w:space="0" w:color="auto"/>
        <w:right w:val="none" w:sz="0" w:space="0" w:color="auto"/>
      </w:divBdr>
      <w:divsChild>
        <w:div w:id="1791506039">
          <w:marLeft w:val="0"/>
          <w:marRight w:val="0"/>
          <w:marTop w:val="0"/>
          <w:marBottom w:val="0"/>
          <w:divBdr>
            <w:top w:val="none" w:sz="0" w:space="0" w:color="auto"/>
            <w:left w:val="none" w:sz="0" w:space="0" w:color="auto"/>
            <w:bottom w:val="none" w:sz="0" w:space="0" w:color="auto"/>
            <w:right w:val="none" w:sz="0" w:space="0" w:color="auto"/>
          </w:divBdr>
        </w:div>
      </w:divsChild>
    </w:div>
    <w:div w:id="1339700894">
      <w:bodyDiv w:val="1"/>
      <w:marLeft w:val="0"/>
      <w:marRight w:val="0"/>
      <w:marTop w:val="0"/>
      <w:marBottom w:val="0"/>
      <w:divBdr>
        <w:top w:val="none" w:sz="0" w:space="0" w:color="auto"/>
        <w:left w:val="none" w:sz="0" w:space="0" w:color="auto"/>
        <w:bottom w:val="none" w:sz="0" w:space="0" w:color="auto"/>
        <w:right w:val="none" w:sz="0" w:space="0" w:color="auto"/>
      </w:divBdr>
    </w:div>
    <w:div w:id="1407921401">
      <w:bodyDiv w:val="1"/>
      <w:marLeft w:val="0"/>
      <w:marRight w:val="0"/>
      <w:marTop w:val="0"/>
      <w:marBottom w:val="0"/>
      <w:divBdr>
        <w:top w:val="none" w:sz="0" w:space="0" w:color="auto"/>
        <w:left w:val="none" w:sz="0" w:space="0" w:color="auto"/>
        <w:bottom w:val="none" w:sz="0" w:space="0" w:color="auto"/>
        <w:right w:val="none" w:sz="0" w:space="0" w:color="auto"/>
      </w:divBdr>
      <w:divsChild>
        <w:div w:id="647396371">
          <w:marLeft w:val="0"/>
          <w:marRight w:val="0"/>
          <w:marTop w:val="0"/>
          <w:marBottom w:val="0"/>
          <w:divBdr>
            <w:top w:val="none" w:sz="0" w:space="0" w:color="auto"/>
            <w:left w:val="none" w:sz="0" w:space="0" w:color="auto"/>
            <w:bottom w:val="none" w:sz="0" w:space="0" w:color="auto"/>
            <w:right w:val="none" w:sz="0" w:space="0" w:color="auto"/>
          </w:divBdr>
        </w:div>
      </w:divsChild>
    </w:div>
    <w:div w:id="1583758725">
      <w:bodyDiv w:val="1"/>
      <w:marLeft w:val="0"/>
      <w:marRight w:val="0"/>
      <w:marTop w:val="0"/>
      <w:marBottom w:val="0"/>
      <w:divBdr>
        <w:top w:val="none" w:sz="0" w:space="0" w:color="auto"/>
        <w:left w:val="none" w:sz="0" w:space="0" w:color="auto"/>
        <w:bottom w:val="none" w:sz="0" w:space="0" w:color="auto"/>
        <w:right w:val="none" w:sz="0" w:space="0" w:color="auto"/>
      </w:divBdr>
      <w:divsChild>
        <w:div w:id="1612395798">
          <w:marLeft w:val="0"/>
          <w:marRight w:val="0"/>
          <w:marTop w:val="0"/>
          <w:marBottom w:val="0"/>
          <w:divBdr>
            <w:top w:val="none" w:sz="0" w:space="0" w:color="auto"/>
            <w:left w:val="none" w:sz="0" w:space="0" w:color="auto"/>
            <w:bottom w:val="none" w:sz="0" w:space="0" w:color="auto"/>
            <w:right w:val="none" w:sz="0" w:space="0" w:color="auto"/>
          </w:divBdr>
        </w:div>
      </w:divsChild>
    </w:div>
    <w:div w:id="1813213436">
      <w:bodyDiv w:val="1"/>
      <w:marLeft w:val="0"/>
      <w:marRight w:val="0"/>
      <w:marTop w:val="0"/>
      <w:marBottom w:val="0"/>
      <w:divBdr>
        <w:top w:val="none" w:sz="0" w:space="0" w:color="auto"/>
        <w:left w:val="none" w:sz="0" w:space="0" w:color="auto"/>
        <w:bottom w:val="none" w:sz="0" w:space="0" w:color="auto"/>
        <w:right w:val="none" w:sz="0" w:space="0" w:color="auto"/>
      </w:divBdr>
    </w:div>
    <w:div w:id="1940021303">
      <w:bodyDiv w:val="1"/>
      <w:marLeft w:val="0"/>
      <w:marRight w:val="0"/>
      <w:marTop w:val="0"/>
      <w:marBottom w:val="0"/>
      <w:divBdr>
        <w:top w:val="none" w:sz="0" w:space="0" w:color="auto"/>
        <w:left w:val="none" w:sz="0" w:space="0" w:color="auto"/>
        <w:bottom w:val="none" w:sz="0" w:space="0" w:color="auto"/>
        <w:right w:val="none" w:sz="0" w:space="0" w:color="auto"/>
      </w:divBdr>
    </w:div>
    <w:div w:id="2089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D26993CAC1546872787FEAF75A995" ma:contentTypeVersion="8" ma:contentTypeDescription="Create a new document." ma:contentTypeScope="" ma:versionID="9978e88c620c83c173f837e56f9f6c0a">
  <xsd:schema xmlns:xsd="http://www.w3.org/2001/XMLSchema" xmlns:xs="http://www.w3.org/2001/XMLSchema" xmlns:p="http://schemas.microsoft.com/office/2006/metadata/properties" xmlns:ns3="f22d5a5a-45aa-45f2-837f-1a1cb7a24d2b" targetNamespace="http://schemas.microsoft.com/office/2006/metadata/properties" ma:root="true" ma:fieldsID="5063775c52b4a56dae6d2bd61c181566" ns3:_="">
    <xsd:import namespace="f22d5a5a-45aa-45f2-837f-1a1cb7a24d2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5a5a-45aa-45f2-837f-1a1cb7a24d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9B97D-E929-4F42-AC39-8E78B69D7916}">
  <ds:schemaRefs>
    <ds:schemaRef ds:uri="http://schemas.microsoft.com/sharepoint/v3/contenttype/forms"/>
  </ds:schemaRefs>
</ds:datastoreItem>
</file>

<file path=customXml/itemProps2.xml><?xml version="1.0" encoding="utf-8"?>
<ds:datastoreItem xmlns:ds="http://schemas.openxmlformats.org/officeDocument/2006/customXml" ds:itemID="{E0A1DC85-3293-42FC-8069-4EACB4CE9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5a5a-45aa-45f2-837f-1a1cb7a24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B62AB-9DC7-43E2-9232-82902C351D39}">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B2918B2B-9E08-4BC9-9893-F8765A8CF9CD}">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22d5a5a-45aa-45f2-837f-1a1cb7a24d2b"/>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1228</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PROJECT CHARTER</vt:lpstr>
    </vt:vector>
  </TitlesOfParts>
  <Company>Xerox Corporation</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dc:title>
  <dc:subject/>
  <dc:creator>Judy Beach</dc:creator>
  <cp:keywords/>
  <dc:description/>
  <cp:lastModifiedBy>Paul Faya</cp:lastModifiedBy>
  <cp:revision>7</cp:revision>
  <cp:lastPrinted>2011-10-25T12:39:00Z</cp:lastPrinted>
  <dcterms:created xsi:type="dcterms:W3CDTF">2021-03-23T12:58:00Z</dcterms:created>
  <dcterms:modified xsi:type="dcterms:W3CDTF">2021-03-23T13:05:00Z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f9d713f9-9441-4bb5-a0d9-d68284e55617</vt:lpwstr>
  </property>
  <property fmtid="{D5CDD505-2E9C-101B-9397-08002B2CF9AE}" pid="4" name="bjSaver">
    <vt:lpwstr>I0ueXccDAegw9R6Miokm8QdMl8e/DO92</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uid="9920fcc9-9f43-4d43-9e3e-b98a219cfd55" value="" /&gt;&lt;/sisl&gt;</vt:lpwstr>
  </property>
  <property fmtid="{D5CDD505-2E9C-101B-9397-08002B2CF9AE}" pid="7" name="bjDocumentSecurityLabel">
    <vt:lpwstr>Not Classified</vt:lpwstr>
  </property>
  <property fmtid="{D5CDD505-2E9C-101B-9397-08002B2CF9AE}" pid="8" name="ContentTypeId">
    <vt:lpwstr>0x010100891D26993CAC1546872787FEAF75A995</vt:lpwstr>
  </property>
</Properties>
</file>