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60" w:rsidRPr="00656ADD" w:rsidRDefault="005B3060">
      <w:pPr>
        <w:rPr>
          <w:b/>
        </w:rPr>
      </w:pPr>
      <w:proofErr w:type="spellStart"/>
      <w:r w:rsidRPr="00656ADD">
        <w:rPr>
          <w:b/>
        </w:rPr>
        <w:t>Subteam</w:t>
      </w:r>
      <w:proofErr w:type="spellEnd"/>
      <w:r w:rsidRPr="00656ADD">
        <w:rPr>
          <w:b/>
        </w:rPr>
        <w:t xml:space="preserve">: </w:t>
      </w:r>
      <w:r w:rsidR="00CC447F">
        <w:rPr>
          <w:b/>
        </w:rPr>
        <w:t>Benefit-Risk</w:t>
      </w:r>
    </w:p>
    <w:p w:rsidR="005B3060" w:rsidRPr="00656ADD" w:rsidRDefault="005B3060">
      <w:pPr>
        <w:rPr>
          <w:b/>
        </w:rPr>
      </w:pPr>
      <w:r w:rsidRPr="00656ADD">
        <w:rPr>
          <w:b/>
        </w:rPr>
        <w:t>Leader Information</w:t>
      </w:r>
    </w:p>
    <w:p w:rsidR="00C95AC4" w:rsidRDefault="00CC447F">
      <w:r>
        <w:tab/>
        <w:t>Carl Di Casoli (Celgene</w:t>
      </w:r>
      <w:r w:rsidR="000A092E">
        <w:t>)</w:t>
      </w:r>
      <w:r w:rsidR="005B3060">
        <w:tab/>
      </w:r>
      <w:r w:rsidR="005B3060">
        <w:tab/>
      </w:r>
      <w:r w:rsidR="005B3060">
        <w:tab/>
      </w:r>
      <w:hyperlink r:id="rId5" w:history="1">
        <w:r w:rsidRPr="00B21359">
          <w:rPr>
            <w:rStyle w:val="Hyperlink"/>
          </w:rPr>
          <w:t>cdicasoli@celgene.com</w:t>
        </w:r>
      </w:hyperlink>
      <w:r w:rsidR="00C95AC4">
        <w:t xml:space="preserve">, </w:t>
      </w:r>
      <w:hyperlink r:id="rId6" w:history="1">
        <w:r w:rsidR="00C95AC4" w:rsidRPr="00B21359">
          <w:rPr>
            <w:rStyle w:val="Hyperlink"/>
          </w:rPr>
          <w:t>cdpiano27@bellsouth.net</w:t>
        </w:r>
      </w:hyperlink>
    </w:p>
    <w:p w:rsidR="005B3060" w:rsidRPr="00656ADD" w:rsidRDefault="005B3060">
      <w:pPr>
        <w:rPr>
          <w:b/>
        </w:rPr>
      </w:pPr>
      <w:proofErr w:type="spellStart"/>
      <w:r w:rsidRPr="00656ADD">
        <w:rPr>
          <w:b/>
        </w:rPr>
        <w:t>Subteam</w:t>
      </w:r>
      <w:proofErr w:type="spellEnd"/>
      <w:r w:rsidRPr="00656ADD">
        <w:rPr>
          <w:b/>
        </w:rPr>
        <w:t xml:space="preserve"> Overview</w:t>
      </w:r>
    </w:p>
    <w:p w:rsidR="001A31B3" w:rsidRDefault="001A31B3" w:rsidP="00117EAD">
      <w:pPr>
        <w:jc w:val="both"/>
      </w:pPr>
      <w:r>
        <w:t xml:space="preserve">We are a group of individuals </w:t>
      </w:r>
      <w:r w:rsidR="004F5DA7">
        <w:t xml:space="preserve">from pharma companies, a statistical software company, </w:t>
      </w:r>
      <w:r w:rsidR="004E5AC7">
        <w:t xml:space="preserve">and a </w:t>
      </w:r>
      <w:r>
        <w:t>regulatory agency, within the Bayesian Scientific Working Group (BSWG</w:t>
      </w:r>
      <w:r w:rsidR="00CC447F">
        <w:t xml:space="preserve">), with </w:t>
      </w:r>
      <w:r w:rsidR="00ED55D7">
        <w:t xml:space="preserve">a </w:t>
      </w:r>
      <w:r w:rsidR="00CC447F">
        <w:t xml:space="preserve">special interest in benefit risk. </w:t>
      </w:r>
    </w:p>
    <w:p w:rsidR="00CC447F" w:rsidRDefault="00CC447F" w:rsidP="00CC447F">
      <w:pPr>
        <w:jc w:val="both"/>
      </w:pPr>
      <w:r>
        <w:t>The benefit-risk assessment of a new medicinal product or intervention is one of the most complex tasks that sponsors, regulators, payers, physicians, and patients face. Therefore, communicating the trade-off of benefits and risks in a clear and transparent manner, using all available evidence, is critical to ensure that the best decisions are made. Several quantitative methods have been proposed in recent years that try to provide insight into this challenging problem. Bayesian inference, with its coherent approach for integrating different sources of information and uncertainty, along with its links to optimal decision theory, provides a natural framework to perform quantitative assessments of the benefit-risk trade-off.</w:t>
      </w:r>
    </w:p>
    <w:p w:rsidR="00656ADD" w:rsidRPr="00B572E6" w:rsidRDefault="009F30F7" w:rsidP="00656ADD">
      <w:pPr>
        <w:jc w:val="both"/>
        <w:rPr>
          <w:b/>
        </w:rPr>
      </w:pPr>
      <w:r w:rsidRPr="00B572E6">
        <w:rPr>
          <w:b/>
        </w:rPr>
        <w:t xml:space="preserve">Objectives of the </w:t>
      </w:r>
      <w:proofErr w:type="spellStart"/>
      <w:r w:rsidRPr="00B572E6">
        <w:rPr>
          <w:b/>
        </w:rPr>
        <w:t>subteam</w:t>
      </w:r>
      <w:proofErr w:type="spellEnd"/>
      <w:r w:rsidRPr="00B572E6">
        <w:rPr>
          <w:b/>
        </w:rPr>
        <w:t xml:space="preserve">: </w:t>
      </w:r>
    </w:p>
    <w:p w:rsidR="00CC447F" w:rsidRPr="00CC447F" w:rsidRDefault="00CC447F" w:rsidP="00CC447F">
      <w:pPr>
        <w:pStyle w:val="ListParagraph"/>
        <w:numPr>
          <w:ilvl w:val="0"/>
          <w:numId w:val="3"/>
        </w:numPr>
        <w:jc w:val="both"/>
      </w:pPr>
      <w:r w:rsidRPr="00CC447F">
        <w:rPr>
          <w:rFonts w:cstheme="minorHAnsi"/>
          <w:color w:val="000000"/>
          <w:sz w:val="23"/>
          <w:szCs w:val="23"/>
          <w:shd w:val="clear" w:color="auto" w:fill="FFFFFF"/>
        </w:rPr>
        <w:t>To understand how best to apply Benefit-Risk Methodologies across the Pharmaceutical Industry</w:t>
      </w:r>
    </w:p>
    <w:p w:rsidR="00CC447F" w:rsidRPr="00CC447F" w:rsidRDefault="00CC447F" w:rsidP="00CC447F">
      <w:pPr>
        <w:pStyle w:val="ListParagraph"/>
        <w:numPr>
          <w:ilvl w:val="0"/>
          <w:numId w:val="3"/>
        </w:numPr>
        <w:jc w:val="both"/>
      </w:pPr>
      <w:r w:rsidRPr="00CC447F">
        <w:rPr>
          <w:rFonts w:cstheme="minorHAnsi"/>
          <w:color w:val="000000"/>
          <w:sz w:val="23"/>
          <w:szCs w:val="23"/>
          <w:shd w:val="clear" w:color="auto" w:fill="FFFFFF"/>
        </w:rPr>
        <w:t>To discuss and make recommendations on key methodological issues</w:t>
      </w:r>
    </w:p>
    <w:p w:rsidR="00CC447F" w:rsidRPr="00CC447F" w:rsidRDefault="00CC447F" w:rsidP="00CC447F">
      <w:pPr>
        <w:pStyle w:val="ListParagraph"/>
        <w:numPr>
          <w:ilvl w:val="0"/>
          <w:numId w:val="3"/>
        </w:numPr>
        <w:jc w:val="both"/>
      </w:pPr>
      <w:r w:rsidRPr="00CC447F">
        <w:rPr>
          <w:rFonts w:cstheme="minorHAnsi"/>
          <w:color w:val="000000"/>
          <w:sz w:val="23"/>
          <w:szCs w:val="23"/>
          <w:shd w:val="clear" w:color="auto" w:fill="FFFFFF"/>
        </w:rPr>
        <w:t>To share examples of how Benefit-Risk has been used within pharmaceutical companies</w:t>
      </w:r>
    </w:p>
    <w:p w:rsidR="00CC447F" w:rsidRPr="00CC447F" w:rsidRDefault="00CC447F" w:rsidP="00CC447F">
      <w:pPr>
        <w:pStyle w:val="ListParagraph"/>
        <w:numPr>
          <w:ilvl w:val="0"/>
          <w:numId w:val="3"/>
        </w:numPr>
        <w:jc w:val="both"/>
        <w:rPr>
          <w:rFonts w:cstheme="minorHAnsi"/>
        </w:rPr>
      </w:pPr>
      <w:r w:rsidRPr="00CC447F">
        <w:rPr>
          <w:rFonts w:cstheme="minorHAnsi"/>
          <w:color w:val="000000"/>
          <w:sz w:val="23"/>
          <w:szCs w:val="23"/>
          <w:shd w:val="clear" w:color="auto" w:fill="FFFFFF"/>
        </w:rPr>
        <w:t>To share external information including new developments around Benefit-Risk</w:t>
      </w:r>
    </w:p>
    <w:p w:rsidR="009F30F7" w:rsidRDefault="00CC447F" w:rsidP="00CC447F">
      <w:pPr>
        <w:pStyle w:val="ListParagraph"/>
        <w:numPr>
          <w:ilvl w:val="0"/>
          <w:numId w:val="3"/>
        </w:numPr>
        <w:jc w:val="both"/>
      </w:pPr>
      <w:r>
        <w:t xml:space="preserve">To publish research in journals and books regarding these methodologies. </w:t>
      </w:r>
    </w:p>
    <w:p w:rsidR="009F30F7" w:rsidRDefault="00461377" w:rsidP="00CC447F">
      <w:pPr>
        <w:pStyle w:val="ListParagraph"/>
        <w:numPr>
          <w:ilvl w:val="0"/>
          <w:numId w:val="3"/>
        </w:numPr>
        <w:jc w:val="both"/>
      </w:pPr>
      <w:r>
        <w:t xml:space="preserve">To disseminate information on research and best practices to broader scientific community as well as to engage in education efforts through conferences, workshops and seminars. </w:t>
      </w:r>
    </w:p>
    <w:p w:rsidR="004437DB" w:rsidRDefault="005B3060" w:rsidP="004437DB">
      <w:r w:rsidRPr="00656ADD">
        <w:rPr>
          <w:b/>
        </w:rPr>
        <w:t>Members</w:t>
      </w:r>
      <w:r w:rsidR="00C95AC4">
        <w:t>: Maria Costa (GSK), Yannis Jemiai (</w:t>
      </w:r>
      <w:proofErr w:type="spellStart"/>
      <w:r w:rsidR="00C95AC4">
        <w:t>Cytel</w:t>
      </w:r>
      <w:proofErr w:type="spellEnd"/>
      <w:r w:rsidR="00C95AC4">
        <w:t>), Weili He (</w:t>
      </w:r>
      <w:proofErr w:type="spellStart"/>
      <w:r w:rsidR="00C95AC4">
        <w:t>Abbvie</w:t>
      </w:r>
      <w:proofErr w:type="spellEnd"/>
      <w:r w:rsidR="00C95AC4">
        <w:t>), Yueqin Zhao (FDA/CDER), Pritibha Singh (Novartis), Carl Di Casoli (Celgene)</w:t>
      </w:r>
    </w:p>
    <w:p w:rsidR="00AE43DB" w:rsidRDefault="00AE43DB" w:rsidP="004437DB">
      <w:r>
        <w:rPr>
          <w:b/>
        </w:rPr>
        <w:t>How to join our cause</w:t>
      </w:r>
      <w:r>
        <w:t>:</w:t>
      </w:r>
      <w:r w:rsidR="00C95AC4">
        <w:t xml:space="preserve"> Please send email to Carl Di Casoli</w:t>
      </w:r>
      <w:r>
        <w:t xml:space="preserve"> (</w:t>
      </w:r>
      <w:hyperlink r:id="rId7" w:history="1">
        <w:r w:rsidR="00C95AC4" w:rsidRPr="00B21359">
          <w:rPr>
            <w:rStyle w:val="Hyperlink"/>
          </w:rPr>
          <w:t>cdicasoli@celgene.com</w:t>
        </w:r>
      </w:hyperlink>
      <w:r w:rsidR="00C95AC4">
        <w:t xml:space="preserve"> and cdpiano27@bellsouth.net</w:t>
      </w:r>
      <w:r>
        <w:t>)</w:t>
      </w:r>
      <w:r w:rsidR="00C95AC4">
        <w:t xml:space="preserve"> </w:t>
      </w:r>
      <w:r>
        <w:t xml:space="preserve">or any of the members of the </w:t>
      </w:r>
      <w:proofErr w:type="spellStart"/>
      <w:r>
        <w:t>subteam</w:t>
      </w:r>
      <w:proofErr w:type="spellEnd"/>
      <w:r>
        <w:t xml:space="preserve">. </w:t>
      </w:r>
    </w:p>
    <w:p w:rsidR="00C95AC4" w:rsidRDefault="00C95AC4" w:rsidP="004437DB">
      <w:pPr>
        <w:rPr>
          <w:b/>
        </w:rPr>
      </w:pPr>
      <w:r>
        <w:rPr>
          <w:b/>
        </w:rPr>
        <w:t>Completed Projects:</w:t>
      </w:r>
    </w:p>
    <w:p w:rsidR="00C95AC4" w:rsidRDefault="00C95AC4" w:rsidP="004437DB">
      <w:pPr>
        <w:rPr>
          <w:b/>
        </w:rPr>
      </w:pPr>
      <w:r>
        <w:rPr>
          <w:b/>
        </w:rPr>
        <w:t>Publication:</w:t>
      </w:r>
    </w:p>
    <w:p w:rsidR="008B5F88" w:rsidRDefault="008B5F88" w:rsidP="008B5F88">
      <w:pPr>
        <w:rPr>
          <w:rFonts w:ascii="Arial" w:hAnsi="Arial" w:cs="Arial"/>
          <w:sz w:val="21"/>
          <w:szCs w:val="21"/>
          <w:shd w:val="clear" w:color="auto" w:fill="FFFFFF"/>
        </w:rPr>
      </w:pPr>
      <w:r w:rsidRPr="004D77FE">
        <w:t>Costa M, He W, Jemiai Y, Zhao Y, Di Casoli C,</w:t>
      </w:r>
      <w:r w:rsidRPr="008B5F88">
        <w:rPr>
          <w:b/>
        </w:rPr>
        <w:t xml:space="preserve"> The Case for a Bayesian Approach to Benefit-Risk Assessment: Overview and Future Directions, Therapeutic Innovation and Regulatory</w:t>
      </w:r>
      <w:r>
        <w:rPr>
          <w:b/>
        </w:rPr>
        <w:t xml:space="preserve"> Science, </w:t>
      </w:r>
      <w:r w:rsidRPr="004D77FE">
        <w:t>Vol 51, Issue 5, 2017</w:t>
      </w:r>
      <w:r w:rsidRPr="008B5F88">
        <w:rPr>
          <w:rFonts w:ascii="Arial" w:hAnsi="Arial" w:cs="Arial"/>
          <w:b/>
          <w:sz w:val="21"/>
          <w:szCs w:val="21"/>
        </w:rPr>
        <w:t xml:space="preserve">, </w:t>
      </w:r>
      <w:r w:rsidRPr="008B5F88">
        <w:rPr>
          <w:rFonts w:ascii="Arial" w:hAnsi="Arial" w:cs="Arial"/>
          <w:sz w:val="21"/>
          <w:szCs w:val="21"/>
          <w:shd w:val="clear" w:color="auto" w:fill="FFFFFF"/>
        </w:rPr>
        <w:t>journals.sagepub.com/</w:t>
      </w:r>
      <w:proofErr w:type="spellStart"/>
      <w:r w:rsidRPr="008B5F88">
        <w:rPr>
          <w:rFonts w:ascii="Arial" w:hAnsi="Arial" w:cs="Arial"/>
          <w:sz w:val="21"/>
          <w:szCs w:val="21"/>
          <w:shd w:val="clear" w:color="auto" w:fill="FFFFFF"/>
        </w:rPr>
        <w:t>doi</w:t>
      </w:r>
      <w:proofErr w:type="spellEnd"/>
      <w:r w:rsidRPr="008B5F88">
        <w:rPr>
          <w:rFonts w:ascii="Arial" w:hAnsi="Arial" w:cs="Arial"/>
          <w:sz w:val="21"/>
          <w:szCs w:val="21"/>
          <w:shd w:val="clear" w:color="auto" w:fill="FFFFFF"/>
        </w:rPr>
        <w:t>/abs/10.1177/2168479017698190</w:t>
      </w:r>
    </w:p>
    <w:p w:rsidR="008C065D" w:rsidRPr="008B5F88" w:rsidRDefault="008C065D" w:rsidP="008B5F88">
      <w:pPr>
        <w:rPr>
          <w:rFonts w:ascii="Arial" w:hAnsi="Arial" w:cs="Arial"/>
          <w:sz w:val="21"/>
          <w:szCs w:val="21"/>
          <w:shd w:val="clear" w:color="auto" w:fill="FFFFFF"/>
        </w:rPr>
      </w:pPr>
    </w:p>
    <w:p w:rsidR="008B5F88" w:rsidRDefault="008B5F88" w:rsidP="008B5F88">
      <w:pPr>
        <w:rPr>
          <w:b/>
        </w:rPr>
      </w:pPr>
      <w:r>
        <w:rPr>
          <w:b/>
        </w:rPr>
        <w:lastRenderedPageBreak/>
        <w:t>Publications in Progress:</w:t>
      </w:r>
      <w:bookmarkStart w:id="0" w:name="_GoBack"/>
      <w:bookmarkEnd w:id="0"/>
    </w:p>
    <w:p w:rsidR="00914C93" w:rsidRPr="00A57ED3" w:rsidRDefault="008B5F88" w:rsidP="008B5F88">
      <w:pPr>
        <w:rPr>
          <w:rFonts w:cstheme="minorHAnsi"/>
          <w:shd w:val="clear" w:color="auto" w:fill="FFFFFF"/>
        </w:rPr>
      </w:pPr>
      <w:r w:rsidRPr="00A57ED3">
        <w:rPr>
          <w:rFonts w:cstheme="minorHAnsi"/>
          <w:shd w:val="clear" w:color="auto" w:fill="FFFFFF"/>
        </w:rPr>
        <w:t xml:space="preserve">Book chapter entitled "Risk Benefit" for the book </w:t>
      </w:r>
      <w:r w:rsidRPr="00A57ED3">
        <w:rPr>
          <w:rFonts w:cstheme="minorHAnsi"/>
          <w:i/>
          <w:shd w:val="clear" w:color="auto" w:fill="FFFFFF"/>
        </w:rPr>
        <w:t>Bayesian Methods in Pharmaceutical Research</w:t>
      </w:r>
      <w:r w:rsidR="00E93F86" w:rsidRPr="00A57ED3">
        <w:rPr>
          <w:rFonts w:cstheme="minorHAnsi"/>
          <w:shd w:val="clear" w:color="auto" w:fill="FFFFFF"/>
        </w:rPr>
        <w:t xml:space="preserve"> that will be published by CRC press.</w:t>
      </w:r>
      <w:r w:rsidRPr="00A57ED3">
        <w:rPr>
          <w:rFonts w:cstheme="minorHAnsi"/>
          <w:shd w:val="clear" w:color="auto" w:fill="FFFFFF"/>
        </w:rPr>
        <w:t xml:space="preserve"> Editors: Emmanuel Lesaffre, </w:t>
      </w:r>
      <w:proofErr w:type="spellStart"/>
      <w:r w:rsidRPr="00A57ED3">
        <w:rPr>
          <w:rFonts w:cstheme="minorHAnsi"/>
          <w:shd w:val="clear" w:color="auto" w:fill="FFFFFF"/>
        </w:rPr>
        <w:t>KULeuven</w:t>
      </w:r>
      <w:proofErr w:type="spellEnd"/>
      <w:r w:rsidRPr="00A57ED3">
        <w:rPr>
          <w:rFonts w:cstheme="minorHAnsi"/>
          <w:shd w:val="clear" w:color="auto" w:fill="FFFFFF"/>
        </w:rPr>
        <w:t xml:space="preserve">, Belgium, Gianluca Baio, University College, London, UK, Bruno Boulanger, </w:t>
      </w:r>
      <w:proofErr w:type="spellStart"/>
      <w:r w:rsidRPr="00A57ED3">
        <w:rPr>
          <w:rFonts w:cstheme="minorHAnsi"/>
          <w:shd w:val="clear" w:color="auto" w:fill="FFFFFF"/>
        </w:rPr>
        <w:t>Arlenda</w:t>
      </w:r>
      <w:proofErr w:type="spellEnd"/>
      <w:r w:rsidRPr="00A57ED3">
        <w:rPr>
          <w:rFonts w:cstheme="minorHAnsi"/>
          <w:shd w:val="clear" w:color="auto" w:fill="FFFFFF"/>
        </w:rPr>
        <w:t xml:space="preserve">, Belgium. </w:t>
      </w:r>
    </w:p>
    <w:p w:rsidR="008675B2" w:rsidRPr="008675B2" w:rsidRDefault="008675B2" w:rsidP="008B5F88">
      <w:pPr>
        <w:rPr>
          <w:b/>
        </w:rPr>
      </w:pPr>
      <w:r>
        <w:rPr>
          <w:rFonts w:ascii="Arial" w:hAnsi="Arial" w:cs="Arial"/>
          <w:b/>
          <w:sz w:val="21"/>
          <w:szCs w:val="21"/>
          <w:shd w:val="clear" w:color="auto" w:fill="FFFFFF"/>
        </w:rPr>
        <w:t xml:space="preserve">Second draft submitted on 1 December 2017. </w:t>
      </w:r>
    </w:p>
    <w:p w:rsidR="00914C93" w:rsidRDefault="00914C93" w:rsidP="00914C93">
      <w:pPr>
        <w:rPr>
          <w:b/>
        </w:rPr>
      </w:pPr>
      <w:r>
        <w:rPr>
          <w:b/>
        </w:rPr>
        <w:t>Presentations:</w:t>
      </w:r>
    </w:p>
    <w:p w:rsidR="00914C93" w:rsidRPr="004D192A" w:rsidRDefault="00914C93" w:rsidP="00914C93">
      <w:r w:rsidRPr="004D192A">
        <w:t>ASA Biopharmaceutical Section Regulatory – Industry Statistics Workshop, 2017 September, Washington, D.C. USA</w:t>
      </w:r>
    </w:p>
    <w:p w:rsidR="00914C93" w:rsidRPr="004D192A" w:rsidRDefault="00914C93" w:rsidP="008B5F88">
      <w:r w:rsidRPr="004D192A">
        <w:t>Bayes Pharma, Leuven, Belgium, 2016 May.</w:t>
      </w:r>
    </w:p>
    <w:p w:rsidR="00914C93" w:rsidRPr="004D192A" w:rsidRDefault="00914C93" w:rsidP="008B5F88">
      <w:r w:rsidRPr="004D192A">
        <w:t xml:space="preserve">Joint Statistical Meetings (JSM) 2016, 31 July 2016, Chicago, United States </w:t>
      </w:r>
    </w:p>
    <w:p w:rsidR="005B3060" w:rsidRPr="00656ADD" w:rsidRDefault="005B3060">
      <w:pPr>
        <w:rPr>
          <w:b/>
        </w:rPr>
      </w:pPr>
      <w:r w:rsidRPr="00656ADD">
        <w:rPr>
          <w:b/>
        </w:rPr>
        <w:t>Ongoing Projects</w:t>
      </w:r>
    </w:p>
    <w:p w:rsidR="005B3060" w:rsidRDefault="004A7046" w:rsidP="00C95AC4">
      <w:pPr>
        <w:pStyle w:val="ListParagraph"/>
        <w:numPr>
          <w:ilvl w:val="0"/>
          <w:numId w:val="1"/>
        </w:numPr>
      </w:pPr>
      <w:r>
        <w:t>The n</w:t>
      </w:r>
      <w:r w:rsidR="00C95AC4">
        <w:t>ext project is a</w:t>
      </w:r>
      <w:r w:rsidR="00C95AC4" w:rsidRPr="00C95AC4">
        <w:t xml:space="preserve"> technical article aimed at a statistical audience which provides more granularity on specific approaches and how to apply them, as well as some case studies to share experiences of using them in practice</w:t>
      </w:r>
      <w:r w:rsidR="008B5F88">
        <w:t xml:space="preserve">. </w:t>
      </w:r>
    </w:p>
    <w:p w:rsidR="004A7046" w:rsidRDefault="004A7046" w:rsidP="004A7046">
      <w:pPr>
        <w:pStyle w:val="ListParagraph"/>
      </w:pPr>
    </w:p>
    <w:p w:rsidR="00C95AC4" w:rsidRDefault="003C30AA" w:rsidP="00AD67FA">
      <w:pPr>
        <w:pStyle w:val="ListParagraph"/>
      </w:pPr>
      <w:r>
        <w:t xml:space="preserve">Members: </w:t>
      </w:r>
      <w:r w:rsidR="00C95AC4">
        <w:t>Maria Costa (GSK), Yannis Jemiai (</w:t>
      </w:r>
      <w:proofErr w:type="spellStart"/>
      <w:r w:rsidR="00C95AC4">
        <w:t>Cytel</w:t>
      </w:r>
      <w:proofErr w:type="spellEnd"/>
      <w:r w:rsidR="00C95AC4">
        <w:t>), Weili He (</w:t>
      </w:r>
      <w:proofErr w:type="spellStart"/>
      <w:r w:rsidR="00C95AC4">
        <w:t>Abbvie</w:t>
      </w:r>
      <w:proofErr w:type="spellEnd"/>
      <w:r w:rsidR="00C95AC4">
        <w:t>), Yueqin Zhao (FDA/CDER), Pritibha Singh (Novartis), Carl Di Casoli (Celgene)</w:t>
      </w:r>
    </w:p>
    <w:p w:rsidR="005B3060" w:rsidRPr="00656ADD" w:rsidRDefault="00656ADD">
      <w:pPr>
        <w:rPr>
          <w:b/>
        </w:rPr>
      </w:pPr>
      <w:r w:rsidRPr="00656ADD">
        <w:rPr>
          <w:b/>
        </w:rPr>
        <w:t>Resources</w:t>
      </w:r>
    </w:p>
    <w:p w:rsidR="008B5F88" w:rsidRDefault="008B5F88" w:rsidP="008B5F88">
      <w:pPr>
        <w:pStyle w:val="ListParagraph"/>
        <w:numPr>
          <w:ilvl w:val="0"/>
          <w:numId w:val="5"/>
        </w:numPr>
        <w:spacing w:after="0" w:line="240" w:lineRule="auto"/>
        <w:ind w:left="720" w:hanging="720"/>
        <w:contextualSpacing w:val="0"/>
        <w:rPr>
          <w:rFonts w:eastAsia="Times New Roman" w:cstheme="minorHAnsi"/>
          <w:lang w:eastAsia="ja-JP"/>
        </w:rPr>
      </w:pPr>
      <w:r w:rsidRPr="007134D6">
        <w:rPr>
          <w:rFonts w:eastAsia="Times New Roman" w:cstheme="minorHAnsi"/>
          <w:lang w:eastAsia="ja-JP"/>
        </w:rPr>
        <w:t xml:space="preserve">Structured approach to benefit-risk assessment in drug regulatory decision-making PDUFA V implementation plan – February 2013. </w:t>
      </w:r>
      <w:hyperlink r:id="rId8" w:history="1">
        <w:r w:rsidRPr="007134D6">
          <w:rPr>
            <w:rStyle w:val="Hyperlink"/>
            <w:rFonts w:cstheme="minorHAnsi"/>
            <w:lang w:eastAsia="ja-JP"/>
          </w:rPr>
          <w:t>http://www.fda.gov/downloads/ForIndustry/UserFees/PrescriptionDrugUserFee/UCM329758.pdf</w:t>
        </w:r>
      </w:hyperlink>
      <w:r w:rsidR="000A7F32">
        <w:rPr>
          <w:rFonts w:eastAsia="Times New Roman" w:cstheme="minorHAnsi"/>
          <w:lang w:eastAsia="ja-JP"/>
        </w:rPr>
        <w:t xml:space="preserve"> </w:t>
      </w:r>
    </w:p>
    <w:p w:rsidR="008B5F88" w:rsidRPr="008B5F88" w:rsidRDefault="008B5F88" w:rsidP="000901C0">
      <w:pPr>
        <w:pStyle w:val="ListParagraph"/>
        <w:spacing w:after="0" w:line="240" w:lineRule="auto"/>
        <w:contextualSpacing w:val="0"/>
        <w:rPr>
          <w:rFonts w:eastAsia="Times New Roman" w:cstheme="minorHAnsi"/>
          <w:lang w:eastAsia="ja-JP"/>
        </w:rPr>
      </w:pPr>
    </w:p>
    <w:p w:rsidR="008B5F88" w:rsidRPr="007134D6" w:rsidRDefault="008B5F88" w:rsidP="008B5F88">
      <w:pPr>
        <w:ind w:left="720" w:hanging="720"/>
        <w:rPr>
          <w:rFonts w:eastAsia="Times New Roman" w:cstheme="minorHAnsi"/>
          <w:lang w:eastAsia="ja-JP"/>
        </w:rPr>
      </w:pPr>
      <w:r w:rsidRPr="00AD792B">
        <w:rPr>
          <w:rFonts w:eastAsia="Times New Roman" w:cstheme="minorHAnsi"/>
          <w:lang w:eastAsia="ja-JP"/>
        </w:rPr>
        <w:t xml:space="preserve">2.          European Medicines Agency. Benefit-risk methodology project work package 3 report: Field tests. 2011; </w:t>
      </w:r>
      <w:r w:rsidRPr="007134D6">
        <w:rPr>
          <w:rFonts w:eastAsia="Times New Roman" w:cstheme="minorHAnsi"/>
          <w:lang w:eastAsia="ja-JP"/>
        </w:rPr>
        <w:t>London, European Medicines Agency.</w:t>
      </w:r>
    </w:p>
    <w:p w:rsidR="008B5F88" w:rsidRPr="007134D6" w:rsidRDefault="008B5F88" w:rsidP="008B5F88">
      <w:pPr>
        <w:ind w:left="709" w:hanging="709"/>
        <w:rPr>
          <w:rFonts w:eastAsia="Times New Roman" w:cstheme="minorHAnsi"/>
          <w:lang w:eastAsia="ja-JP"/>
        </w:rPr>
      </w:pPr>
      <w:r w:rsidRPr="007134D6">
        <w:rPr>
          <w:rFonts w:eastAsia="Times New Roman" w:cstheme="minorHAnsi"/>
          <w:lang w:eastAsia="ja-JP"/>
        </w:rPr>
        <w:t xml:space="preserve">3.           </w:t>
      </w:r>
      <w:proofErr w:type="spellStart"/>
      <w:r w:rsidRPr="007134D6">
        <w:rPr>
          <w:rFonts w:eastAsia="Times New Roman" w:cstheme="minorHAnsi"/>
          <w:lang w:eastAsia="ja-JP"/>
        </w:rPr>
        <w:t>Colop</w:t>
      </w:r>
      <w:r w:rsidR="00BF7016">
        <w:rPr>
          <w:rFonts w:eastAsia="Times New Roman" w:cstheme="minorHAnsi"/>
          <w:lang w:eastAsia="ja-JP"/>
        </w:rPr>
        <w:t>y</w:t>
      </w:r>
      <w:proofErr w:type="spellEnd"/>
      <w:r w:rsidR="00BF7016">
        <w:rPr>
          <w:rFonts w:eastAsia="Times New Roman" w:cstheme="minorHAnsi"/>
          <w:lang w:eastAsia="ja-JP"/>
        </w:rPr>
        <w:t xml:space="preserve"> MW, </w:t>
      </w:r>
      <w:proofErr w:type="spellStart"/>
      <w:r w:rsidR="00BF7016">
        <w:rPr>
          <w:rFonts w:eastAsia="Times New Roman" w:cstheme="minorHAnsi"/>
          <w:lang w:eastAsia="ja-JP"/>
        </w:rPr>
        <w:t>Damaraju</w:t>
      </w:r>
      <w:proofErr w:type="spellEnd"/>
      <w:r w:rsidR="00BF7016">
        <w:rPr>
          <w:rFonts w:eastAsia="Times New Roman" w:cstheme="minorHAnsi"/>
          <w:lang w:eastAsia="ja-JP"/>
        </w:rPr>
        <w:t xml:space="preserve"> CV, He W, Jiang </w:t>
      </w:r>
      <w:r w:rsidRPr="007134D6">
        <w:rPr>
          <w:rFonts w:eastAsia="Times New Roman" w:cstheme="minorHAnsi"/>
          <w:lang w:eastAsia="ja-JP"/>
        </w:rPr>
        <w:t xml:space="preserve">Q, Levitan BS, </w:t>
      </w:r>
      <w:proofErr w:type="spellStart"/>
      <w:proofErr w:type="gramStart"/>
      <w:r w:rsidRPr="007134D6">
        <w:rPr>
          <w:rFonts w:eastAsia="Times New Roman" w:cstheme="minorHAnsi"/>
          <w:lang w:eastAsia="ja-JP"/>
        </w:rPr>
        <w:t>Ruan</w:t>
      </w:r>
      <w:proofErr w:type="spellEnd"/>
      <w:r w:rsidRPr="007134D6">
        <w:rPr>
          <w:rFonts w:eastAsia="Times New Roman" w:cstheme="minorHAnsi"/>
          <w:lang w:eastAsia="ja-JP"/>
        </w:rPr>
        <w:t xml:space="preserve">  S</w:t>
      </w:r>
      <w:proofErr w:type="gramEnd"/>
      <w:r w:rsidRPr="007134D6">
        <w:rPr>
          <w:rFonts w:eastAsia="Times New Roman" w:cstheme="minorHAnsi"/>
          <w:lang w:eastAsia="ja-JP"/>
        </w:rPr>
        <w:t xml:space="preserve">, Yuan  Z. Benefit-risk evaluation and decision-making: some practical insights. </w:t>
      </w:r>
      <w:r w:rsidRPr="007134D6">
        <w:rPr>
          <w:rFonts w:eastAsia="Times New Roman" w:cstheme="minorHAnsi"/>
          <w:i/>
          <w:lang w:eastAsia="ja-JP"/>
        </w:rPr>
        <w:t xml:space="preserve">DIA </w:t>
      </w:r>
      <w:proofErr w:type="spellStart"/>
      <w:r w:rsidRPr="007134D6">
        <w:rPr>
          <w:rFonts w:eastAsia="Times New Roman" w:cstheme="minorHAnsi"/>
          <w:i/>
          <w:lang w:eastAsia="ja-JP"/>
        </w:rPr>
        <w:t>Ther</w:t>
      </w:r>
      <w:proofErr w:type="spellEnd"/>
      <w:r w:rsidRPr="007134D6">
        <w:rPr>
          <w:rFonts w:eastAsia="Times New Roman" w:cstheme="minorHAnsi"/>
          <w:i/>
          <w:lang w:eastAsia="ja-JP"/>
        </w:rPr>
        <w:t xml:space="preserve"> </w:t>
      </w:r>
      <w:proofErr w:type="spellStart"/>
      <w:r w:rsidRPr="007134D6">
        <w:rPr>
          <w:rFonts w:eastAsia="Times New Roman" w:cstheme="minorHAnsi"/>
          <w:i/>
          <w:lang w:eastAsia="ja-JP"/>
        </w:rPr>
        <w:t>Innov</w:t>
      </w:r>
      <w:proofErr w:type="spellEnd"/>
      <w:r w:rsidRPr="007134D6">
        <w:rPr>
          <w:rFonts w:eastAsia="Times New Roman" w:cstheme="minorHAnsi"/>
          <w:i/>
          <w:lang w:eastAsia="ja-JP"/>
        </w:rPr>
        <w:t xml:space="preserve"> &amp; Reg Sci.</w:t>
      </w:r>
      <w:r w:rsidRPr="007134D6">
        <w:rPr>
          <w:rFonts w:eastAsia="Times New Roman" w:cstheme="minorHAnsi"/>
          <w:lang w:eastAsia="ja-JP"/>
        </w:rPr>
        <w:t xml:space="preserve"> 2006; 49:425-433. </w:t>
      </w:r>
    </w:p>
    <w:p w:rsidR="008B5F88" w:rsidRPr="007134D6" w:rsidRDefault="008B5F88" w:rsidP="008B5F88">
      <w:pPr>
        <w:ind w:left="720" w:hanging="720"/>
        <w:rPr>
          <w:rFonts w:eastAsia="Times New Roman" w:cstheme="minorHAnsi"/>
          <w:lang w:eastAsia="ja-JP"/>
        </w:rPr>
      </w:pPr>
      <w:r w:rsidRPr="007134D6">
        <w:rPr>
          <w:rFonts w:eastAsia="Times New Roman" w:cstheme="minorHAnsi"/>
          <w:lang w:eastAsia="ja-JP"/>
        </w:rPr>
        <w:t xml:space="preserve">4.           </w:t>
      </w:r>
      <w:proofErr w:type="spellStart"/>
      <w:r w:rsidRPr="007134D6">
        <w:rPr>
          <w:rFonts w:eastAsia="Times New Roman" w:cstheme="minorHAnsi"/>
          <w:lang w:eastAsia="ja-JP"/>
        </w:rPr>
        <w:t>Coplan</w:t>
      </w:r>
      <w:proofErr w:type="spellEnd"/>
      <w:r w:rsidRPr="007134D6">
        <w:rPr>
          <w:rFonts w:eastAsia="Times New Roman" w:cstheme="minorHAnsi"/>
          <w:lang w:eastAsia="ja-JP"/>
        </w:rPr>
        <w:t xml:space="preserve"> PM, Noel RA, Levitan BS, Ferguson J, </w:t>
      </w:r>
      <w:proofErr w:type="spellStart"/>
      <w:r w:rsidRPr="007134D6">
        <w:rPr>
          <w:rFonts w:eastAsia="Times New Roman" w:cstheme="minorHAnsi"/>
          <w:lang w:eastAsia="ja-JP"/>
        </w:rPr>
        <w:t>Mussen</w:t>
      </w:r>
      <w:proofErr w:type="spellEnd"/>
      <w:r w:rsidRPr="007134D6">
        <w:rPr>
          <w:rFonts w:eastAsia="Times New Roman" w:cstheme="minorHAnsi"/>
          <w:lang w:eastAsia="ja-JP"/>
        </w:rPr>
        <w:t xml:space="preserve"> F. Development of a framework for enhancing the transparency, reproducibility and communication of the benefit-risk balance of medicines. </w:t>
      </w:r>
      <w:proofErr w:type="spellStart"/>
      <w:r w:rsidRPr="007134D6">
        <w:rPr>
          <w:rFonts w:eastAsia="Times New Roman" w:cstheme="minorHAnsi"/>
          <w:i/>
          <w:lang w:eastAsia="ja-JP"/>
        </w:rPr>
        <w:t>Clin</w:t>
      </w:r>
      <w:proofErr w:type="spellEnd"/>
      <w:r w:rsidRPr="007134D6">
        <w:rPr>
          <w:rFonts w:eastAsia="Times New Roman" w:cstheme="minorHAnsi"/>
          <w:i/>
          <w:lang w:eastAsia="ja-JP"/>
        </w:rPr>
        <w:t xml:space="preserve"> </w:t>
      </w:r>
      <w:proofErr w:type="spellStart"/>
      <w:r w:rsidRPr="007134D6">
        <w:rPr>
          <w:rFonts w:eastAsia="Times New Roman" w:cstheme="minorHAnsi"/>
          <w:i/>
          <w:lang w:eastAsia="ja-JP"/>
        </w:rPr>
        <w:t>Pharmacol</w:t>
      </w:r>
      <w:proofErr w:type="spellEnd"/>
      <w:r w:rsidRPr="007134D6">
        <w:rPr>
          <w:rFonts w:eastAsia="Times New Roman" w:cstheme="minorHAnsi"/>
          <w:i/>
          <w:lang w:eastAsia="ja-JP"/>
        </w:rPr>
        <w:t xml:space="preserve"> </w:t>
      </w:r>
      <w:proofErr w:type="spellStart"/>
      <w:r w:rsidRPr="007134D6">
        <w:rPr>
          <w:rFonts w:eastAsia="Times New Roman" w:cstheme="minorHAnsi"/>
          <w:i/>
          <w:lang w:eastAsia="ja-JP"/>
        </w:rPr>
        <w:t>Ther</w:t>
      </w:r>
      <w:proofErr w:type="spellEnd"/>
      <w:r w:rsidRPr="007134D6">
        <w:rPr>
          <w:rFonts w:eastAsia="Times New Roman" w:cstheme="minorHAnsi"/>
          <w:lang w:eastAsia="ja-JP"/>
        </w:rPr>
        <w:t>. 2011; 89:312-315. </w:t>
      </w:r>
    </w:p>
    <w:p w:rsidR="008B5F88" w:rsidRPr="007134D6" w:rsidRDefault="008B5F88" w:rsidP="008B5F88">
      <w:pPr>
        <w:ind w:left="720" w:hanging="720"/>
        <w:rPr>
          <w:rFonts w:eastAsia="Times New Roman" w:cstheme="minorHAnsi"/>
          <w:lang w:eastAsia="ja-JP"/>
        </w:rPr>
      </w:pPr>
      <w:r w:rsidRPr="007134D6">
        <w:rPr>
          <w:rFonts w:eastAsia="Times New Roman" w:cstheme="minorHAnsi"/>
          <w:lang w:eastAsia="ja-JP"/>
        </w:rPr>
        <w:t xml:space="preserve">5.       </w:t>
      </w:r>
      <w:r w:rsidRPr="007134D6">
        <w:rPr>
          <w:rFonts w:eastAsia="Times New Roman" w:cstheme="minorHAnsi"/>
          <w:lang w:eastAsia="ja-JP"/>
        </w:rPr>
        <w:tab/>
      </w:r>
      <w:r w:rsidRPr="007134D6">
        <w:rPr>
          <w:rFonts w:eastAsia="Times New Roman" w:cstheme="minorHAnsi"/>
          <w:lang w:val="de-DE" w:eastAsia="ja-JP"/>
        </w:rPr>
        <w:t xml:space="preserve">Mt-Isa S, Owens M, Robert V, Gebel M, Schacht A, Hirsch I. </w:t>
      </w:r>
      <w:r w:rsidRPr="007134D6">
        <w:rPr>
          <w:rFonts w:eastAsia="Times New Roman" w:cstheme="minorHAnsi"/>
          <w:lang w:eastAsia="ja-JP"/>
        </w:rPr>
        <w:t xml:space="preserve">Structured benefit-risk assessment: a review of key publications and initiatives on frameworks and methodologies. </w:t>
      </w:r>
      <w:r w:rsidRPr="007134D6">
        <w:rPr>
          <w:rFonts w:eastAsia="Times New Roman" w:cstheme="minorHAnsi"/>
          <w:i/>
          <w:lang w:eastAsia="ja-JP"/>
        </w:rPr>
        <w:t>Pharm Stat</w:t>
      </w:r>
      <w:r w:rsidRPr="007134D6">
        <w:rPr>
          <w:rFonts w:eastAsia="Times New Roman" w:cstheme="minorHAnsi"/>
          <w:lang w:eastAsia="ja-JP"/>
        </w:rPr>
        <w:t xml:space="preserve">. 2015; 15:324-332. </w:t>
      </w:r>
    </w:p>
    <w:p w:rsidR="00ED40D2" w:rsidRPr="00646A2E" w:rsidRDefault="008B5F88" w:rsidP="00646A2E">
      <w:pPr>
        <w:ind w:left="720" w:hanging="720"/>
        <w:rPr>
          <w:rFonts w:eastAsia="Times New Roman" w:cstheme="minorHAnsi"/>
          <w:lang w:eastAsia="ja-JP"/>
        </w:rPr>
      </w:pPr>
      <w:r w:rsidRPr="007134D6">
        <w:rPr>
          <w:rFonts w:eastAsia="Times New Roman" w:cstheme="minorHAnsi"/>
          <w:lang w:eastAsia="ja-JP"/>
        </w:rPr>
        <w:lastRenderedPageBreak/>
        <w:t xml:space="preserve">6.        </w:t>
      </w:r>
      <w:r w:rsidRPr="007134D6">
        <w:rPr>
          <w:rFonts w:eastAsia="Times New Roman" w:cstheme="minorHAnsi"/>
          <w:lang w:eastAsia="ja-JP"/>
        </w:rPr>
        <w:tab/>
      </w:r>
      <w:r w:rsidRPr="007134D6">
        <w:rPr>
          <w:rFonts w:eastAsia="Times New Roman" w:cstheme="minorHAnsi"/>
          <w:lang w:val="de-DE" w:eastAsia="ja-JP"/>
        </w:rPr>
        <w:t xml:space="preserve">Mt-Isa S, Hallgreen CE, Wang N, </w:t>
      </w:r>
      <w:r>
        <w:rPr>
          <w:rFonts w:eastAsia="Times New Roman" w:cstheme="minorHAnsi"/>
          <w:lang w:val="de-DE" w:eastAsia="ja-JP"/>
        </w:rPr>
        <w:t>et al.</w:t>
      </w:r>
      <w:r w:rsidRPr="007134D6">
        <w:rPr>
          <w:rFonts w:eastAsia="Times New Roman" w:cstheme="minorHAnsi"/>
          <w:lang w:val="de-DE" w:eastAsia="ja-JP"/>
        </w:rPr>
        <w:t xml:space="preserve"> on behalf of the IMI-PROTECT Benefit-Risk participants. </w:t>
      </w:r>
      <w:r w:rsidRPr="007134D6">
        <w:rPr>
          <w:rFonts w:eastAsia="Times New Roman" w:cstheme="minorHAnsi"/>
          <w:lang w:eastAsia="ja-JP"/>
        </w:rPr>
        <w:t xml:space="preserve">Balancing benefit and risk of medicines: a systematic review and classification of available methodologies. </w:t>
      </w:r>
      <w:proofErr w:type="spellStart"/>
      <w:r w:rsidRPr="007134D6">
        <w:rPr>
          <w:rFonts w:eastAsia="Times New Roman" w:cstheme="minorHAnsi"/>
          <w:i/>
          <w:lang w:eastAsia="ja-JP"/>
        </w:rPr>
        <w:t>Pharmacoepidemiol</w:t>
      </w:r>
      <w:proofErr w:type="spellEnd"/>
      <w:r w:rsidRPr="007134D6">
        <w:rPr>
          <w:rFonts w:eastAsia="Times New Roman" w:cstheme="minorHAnsi"/>
          <w:i/>
          <w:lang w:eastAsia="ja-JP"/>
        </w:rPr>
        <w:t xml:space="preserve"> Drug </w:t>
      </w:r>
      <w:proofErr w:type="spellStart"/>
      <w:r w:rsidRPr="007134D6">
        <w:rPr>
          <w:rFonts w:eastAsia="Times New Roman" w:cstheme="minorHAnsi"/>
          <w:i/>
          <w:lang w:eastAsia="ja-JP"/>
        </w:rPr>
        <w:t>Saf</w:t>
      </w:r>
      <w:proofErr w:type="spellEnd"/>
      <w:r w:rsidRPr="007134D6">
        <w:rPr>
          <w:rFonts w:eastAsia="Times New Roman" w:cstheme="minorHAnsi"/>
          <w:lang w:eastAsia="ja-JP"/>
        </w:rPr>
        <w:t xml:space="preserve">. 2014; 23:667-678. </w:t>
      </w:r>
    </w:p>
    <w:sectPr w:rsidR="00ED40D2" w:rsidRPr="0064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0537"/>
    <w:multiLevelType w:val="hybridMultilevel"/>
    <w:tmpl w:val="95B60F34"/>
    <w:lvl w:ilvl="0" w:tplc="21E25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9C2"/>
    <w:multiLevelType w:val="hybridMultilevel"/>
    <w:tmpl w:val="FB9401C4"/>
    <w:lvl w:ilvl="0" w:tplc="6D6EA37A">
      <w:start w:val="1"/>
      <w:numFmt w:val="decimal"/>
      <w:lvlText w:val="%1."/>
      <w:lvlJc w:val="left"/>
      <w:pPr>
        <w:ind w:left="-76" w:hanging="360"/>
      </w:pPr>
    </w:lvl>
    <w:lvl w:ilvl="1" w:tplc="04090019">
      <w:start w:val="1"/>
      <w:numFmt w:val="lowerLetter"/>
      <w:lvlText w:val="%2."/>
      <w:lvlJc w:val="left"/>
      <w:pPr>
        <w:ind w:left="644" w:hanging="360"/>
      </w:pPr>
    </w:lvl>
    <w:lvl w:ilvl="2" w:tplc="0409001B">
      <w:start w:val="1"/>
      <w:numFmt w:val="lowerRoman"/>
      <w:lvlText w:val="%3."/>
      <w:lvlJc w:val="right"/>
      <w:pPr>
        <w:ind w:left="1364" w:hanging="180"/>
      </w:pPr>
    </w:lvl>
    <w:lvl w:ilvl="3" w:tplc="0409000F">
      <w:start w:val="1"/>
      <w:numFmt w:val="decimal"/>
      <w:lvlText w:val="%4."/>
      <w:lvlJc w:val="left"/>
      <w:pPr>
        <w:ind w:left="2084" w:hanging="360"/>
      </w:pPr>
    </w:lvl>
    <w:lvl w:ilvl="4" w:tplc="04090019">
      <w:start w:val="1"/>
      <w:numFmt w:val="lowerLetter"/>
      <w:lvlText w:val="%5."/>
      <w:lvlJc w:val="left"/>
      <w:pPr>
        <w:ind w:left="2804" w:hanging="360"/>
      </w:pPr>
    </w:lvl>
    <w:lvl w:ilvl="5" w:tplc="0409001B">
      <w:start w:val="1"/>
      <w:numFmt w:val="lowerRoman"/>
      <w:lvlText w:val="%6."/>
      <w:lvlJc w:val="right"/>
      <w:pPr>
        <w:ind w:left="3524" w:hanging="180"/>
      </w:pPr>
    </w:lvl>
    <w:lvl w:ilvl="6" w:tplc="0409000F">
      <w:start w:val="1"/>
      <w:numFmt w:val="decimal"/>
      <w:lvlText w:val="%7."/>
      <w:lvlJc w:val="left"/>
      <w:pPr>
        <w:ind w:left="4244" w:hanging="360"/>
      </w:pPr>
    </w:lvl>
    <w:lvl w:ilvl="7" w:tplc="04090019">
      <w:start w:val="1"/>
      <w:numFmt w:val="lowerLetter"/>
      <w:lvlText w:val="%8."/>
      <w:lvlJc w:val="left"/>
      <w:pPr>
        <w:ind w:left="4964" w:hanging="360"/>
      </w:pPr>
    </w:lvl>
    <w:lvl w:ilvl="8" w:tplc="0409001B">
      <w:start w:val="1"/>
      <w:numFmt w:val="lowerRoman"/>
      <w:lvlText w:val="%9."/>
      <w:lvlJc w:val="right"/>
      <w:pPr>
        <w:ind w:left="5684" w:hanging="180"/>
      </w:pPr>
    </w:lvl>
  </w:abstractNum>
  <w:abstractNum w:abstractNumId="2" w15:restartNumberingAfterBreak="0">
    <w:nsid w:val="473D3F22"/>
    <w:multiLevelType w:val="hybridMultilevel"/>
    <w:tmpl w:val="9FEE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60A8D"/>
    <w:multiLevelType w:val="hybridMultilevel"/>
    <w:tmpl w:val="4C9C6336"/>
    <w:lvl w:ilvl="0" w:tplc="F3AE1A5A">
      <w:numFmt w:val="bullet"/>
      <w:lvlText w:val="•"/>
      <w:lvlJc w:val="left"/>
      <w:pPr>
        <w:ind w:left="720" w:hanging="360"/>
      </w:pPr>
      <w:rPr>
        <w:rFonts w:ascii="Arial" w:eastAsiaTheme="minorHAnsi" w:hAnsi="Aria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318FD"/>
    <w:multiLevelType w:val="hybridMultilevel"/>
    <w:tmpl w:val="6F92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EF"/>
    <w:rsid w:val="00000287"/>
    <w:rsid w:val="00015275"/>
    <w:rsid w:val="000901C0"/>
    <w:rsid w:val="000A092E"/>
    <w:rsid w:val="000A25AA"/>
    <w:rsid w:val="000A7F32"/>
    <w:rsid w:val="00117EAD"/>
    <w:rsid w:val="00126C98"/>
    <w:rsid w:val="0017546E"/>
    <w:rsid w:val="001A31B3"/>
    <w:rsid w:val="0032328F"/>
    <w:rsid w:val="003951FD"/>
    <w:rsid w:val="003B72EF"/>
    <w:rsid w:val="003C30AA"/>
    <w:rsid w:val="004150DA"/>
    <w:rsid w:val="004437DB"/>
    <w:rsid w:val="00461377"/>
    <w:rsid w:val="00497B1A"/>
    <w:rsid w:val="004A7046"/>
    <w:rsid w:val="004D192A"/>
    <w:rsid w:val="004D77FE"/>
    <w:rsid w:val="004E5AC7"/>
    <w:rsid w:val="004F5DA7"/>
    <w:rsid w:val="0051143B"/>
    <w:rsid w:val="00595D2D"/>
    <w:rsid w:val="005A654E"/>
    <w:rsid w:val="005B3060"/>
    <w:rsid w:val="00646A2E"/>
    <w:rsid w:val="00656ADD"/>
    <w:rsid w:val="00687BA5"/>
    <w:rsid w:val="00744E4D"/>
    <w:rsid w:val="007A136A"/>
    <w:rsid w:val="007F48FC"/>
    <w:rsid w:val="008675B2"/>
    <w:rsid w:val="008748E9"/>
    <w:rsid w:val="008B5F88"/>
    <w:rsid w:val="008C065D"/>
    <w:rsid w:val="00912D12"/>
    <w:rsid w:val="00914C93"/>
    <w:rsid w:val="009F30F7"/>
    <w:rsid w:val="00A57ED3"/>
    <w:rsid w:val="00A7354A"/>
    <w:rsid w:val="00AC6E5E"/>
    <w:rsid w:val="00AD67FA"/>
    <w:rsid w:val="00AE43DB"/>
    <w:rsid w:val="00B110FE"/>
    <w:rsid w:val="00B572E6"/>
    <w:rsid w:val="00BF7016"/>
    <w:rsid w:val="00C40839"/>
    <w:rsid w:val="00C95AC4"/>
    <w:rsid w:val="00CC447F"/>
    <w:rsid w:val="00D30B0C"/>
    <w:rsid w:val="00DA6DEB"/>
    <w:rsid w:val="00E2083B"/>
    <w:rsid w:val="00E93F86"/>
    <w:rsid w:val="00ED40D2"/>
    <w:rsid w:val="00E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2DC1"/>
  <w15:docId w15:val="{8D747ABC-148A-4A91-859D-6DED0E2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2EF"/>
    <w:rPr>
      <w:color w:val="0000FF"/>
      <w:u w:val="single"/>
    </w:rPr>
  </w:style>
  <w:style w:type="paragraph" w:styleId="ListParagraph">
    <w:name w:val="List Paragraph"/>
    <w:basedOn w:val="Normal"/>
    <w:link w:val="ListParagraphChar"/>
    <w:uiPriority w:val="34"/>
    <w:qFormat/>
    <w:rsid w:val="005B3060"/>
    <w:pPr>
      <w:ind w:left="720"/>
      <w:contextualSpacing/>
    </w:pPr>
  </w:style>
  <w:style w:type="character" w:styleId="UnresolvedMention">
    <w:name w:val="Unresolved Mention"/>
    <w:basedOn w:val="DefaultParagraphFont"/>
    <w:uiPriority w:val="99"/>
    <w:semiHidden/>
    <w:unhideWhenUsed/>
    <w:rsid w:val="00CC447F"/>
    <w:rPr>
      <w:color w:val="808080"/>
      <w:shd w:val="clear" w:color="auto" w:fill="E6E6E6"/>
    </w:rPr>
  </w:style>
  <w:style w:type="character" w:customStyle="1" w:styleId="ListParagraphChar">
    <w:name w:val="List Paragraph Char"/>
    <w:link w:val="ListParagraph"/>
    <w:uiPriority w:val="34"/>
    <w:locked/>
    <w:rsid w:val="008B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ForIndustry/UserFees/PrescriptionDrugUserFee/UCM329758.pdf" TargetMode="External"/><Relationship Id="rId3" Type="http://schemas.openxmlformats.org/officeDocument/2006/relationships/settings" Target="settings.xml"/><Relationship Id="rId7" Type="http://schemas.openxmlformats.org/officeDocument/2006/relationships/hyperlink" Target="mailto:cdicasoli@celg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piano27@bellsouth.net" TargetMode="External"/><Relationship Id="rId5" Type="http://schemas.openxmlformats.org/officeDocument/2006/relationships/hyperlink" Target="mailto:cdicasoli@celge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Gamalo</dc:creator>
  <cp:lastModifiedBy>Carl Di Casoli</cp:lastModifiedBy>
  <cp:revision>7</cp:revision>
  <dcterms:created xsi:type="dcterms:W3CDTF">2017-12-15T22:09:00Z</dcterms:created>
  <dcterms:modified xsi:type="dcterms:W3CDTF">2017-12-15T22:15:00Z</dcterms:modified>
</cp:coreProperties>
</file>