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F94" w:rsidRDefault="00B82F94" w:rsidP="00B82F94">
      <w:pPr>
        <w:rPr>
          <w:rFonts w:ascii="Verdana" w:hAnsi="Verdana"/>
          <w:b/>
          <w:sz w:val="20"/>
          <w:szCs w:val="20"/>
          <w:u w:val="single"/>
        </w:rPr>
      </w:pPr>
      <w:bookmarkStart w:id="0" w:name="_GoBack"/>
      <w:bookmarkEnd w:id="0"/>
      <w:r w:rsidRPr="00B82F94">
        <w:rPr>
          <w:rFonts w:ascii="Verdana" w:hAnsi="Verdana"/>
          <w:b/>
          <w:sz w:val="20"/>
          <w:szCs w:val="20"/>
          <w:u w:val="single"/>
        </w:rPr>
        <w:t>Small Population Trial Design Considerations</w:t>
      </w:r>
    </w:p>
    <w:p w:rsidR="00F12737" w:rsidRPr="00F12737" w:rsidRDefault="00F12737" w:rsidP="00B82F94">
      <w:pPr>
        <w:rPr>
          <w:rFonts w:ascii="Verdana" w:hAnsi="Verdana"/>
          <w:sz w:val="20"/>
          <w:szCs w:val="20"/>
        </w:rPr>
      </w:pPr>
      <w:r w:rsidRPr="00F12737">
        <w:rPr>
          <w:rFonts w:ascii="Verdana" w:hAnsi="Verdana"/>
          <w:sz w:val="20"/>
          <w:szCs w:val="20"/>
        </w:rPr>
        <w:t xml:space="preserve">Freda </w:t>
      </w:r>
      <w:r>
        <w:rPr>
          <w:rFonts w:ascii="Verdana" w:hAnsi="Verdana"/>
          <w:sz w:val="20"/>
          <w:szCs w:val="20"/>
        </w:rPr>
        <w:t>Cooner</w:t>
      </w:r>
      <w:r w:rsidR="00ED7ABC">
        <w:rPr>
          <w:rFonts w:ascii="Verdana" w:hAnsi="Verdana"/>
          <w:sz w:val="20"/>
          <w:szCs w:val="20"/>
        </w:rPr>
        <w:t>, Ph.D.</w:t>
      </w:r>
      <w:r w:rsidR="005442F4">
        <w:rPr>
          <w:rFonts w:ascii="Verdana" w:hAnsi="Verdana"/>
          <w:sz w:val="20"/>
          <w:szCs w:val="20"/>
        </w:rPr>
        <w:t xml:space="preserve"> </w:t>
      </w:r>
      <w:r w:rsidR="00366D9B">
        <w:rPr>
          <w:rFonts w:ascii="Verdana" w:hAnsi="Verdana"/>
          <w:sz w:val="20"/>
          <w:szCs w:val="20"/>
        </w:rPr>
        <w:t>and</w:t>
      </w:r>
      <w:r>
        <w:rPr>
          <w:rFonts w:ascii="Verdana" w:hAnsi="Verdana"/>
          <w:sz w:val="20"/>
          <w:szCs w:val="20"/>
        </w:rPr>
        <w:t xml:space="preserve"> Ram Tiwari, Ph.D., Office of Biostatistics, Office of Translational Sciences, CDER/FDA</w:t>
      </w:r>
    </w:p>
    <w:p w:rsidR="00F12737" w:rsidRPr="00E54F62" w:rsidRDefault="00F12737" w:rsidP="00B82F94"/>
    <w:p w:rsidR="00C860A8" w:rsidRPr="00E54F62" w:rsidRDefault="00C860A8" w:rsidP="00B82F94">
      <w:r w:rsidRPr="00E54F62">
        <w:t>This chapter present</w:t>
      </w:r>
      <w:r w:rsidR="00287874">
        <w:t>s</w:t>
      </w:r>
      <w:r w:rsidRPr="00E54F62">
        <w:t xml:space="preserve"> a brief overview of various aspects of a clinical trial for rare diseases, including regulatory requirements, a summary of trial designs, trial conduct</w:t>
      </w:r>
      <w:r w:rsidR="00D20B9E" w:rsidRPr="00E54F62">
        <w:t xml:space="preserve"> considerations</w:t>
      </w:r>
      <w:r w:rsidRPr="00E54F62">
        <w:t xml:space="preserve">, and </w:t>
      </w:r>
      <w:r w:rsidR="00287874">
        <w:t xml:space="preserve">some </w:t>
      </w:r>
      <w:r w:rsidRPr="00E54F62">
        <w:t>relevant statistical issues aris</w:t>
      </w:r>
      <w:r w:rsidR="00287874">
        <w:t>ing</w:t>
      </w:r>
      <w:r w:rsidRPr="00E54F62">
        <w:t xml:space="preserve"> from small population trial</w:t>
      </w:r>
      <w:r w:rsidR="00287874">
        <w:t>s</w:t>
      </w:r>
      <w:r w:rsidRPr="00E54F62">
        <w:t>.</w:t>
      </w:r>
    </w:p>
    <w:p w:rsidR="00C860A8" w:rsidRPr="00E54F62" w:rsidRDefault="00C860A8" w:rsidP="00B82F94"/>
    <w:p w:rsidR="00207848" w:rsidRPr="005442F4" w:rsidRDefault="007F3F03" w:rsidP="00B82F94">
      <w:pPr>
        <w:rPr>
          <w:u w:val="single"/>
        </w:rPr>
      </w:pPr>
      <w:r w:rsidRPr="005442F4">
        <w:rPr>
          <w:u w:val="single"/>
        </w:rPr>
        <w:t xml:space="preserve">Rare Diseases and </w:t>
      </w:r>
      <w:r w:rsidR="00B82F94" w:rsidRPr="005442F4">
        <w:rPr>
          <w:u w:val="single"/>
        </w:rPr>
        <w:t>FDA</w:t>
      </w:r>
    </w:p>
    <w:p w:rsidR="00B82F94" w:rsidRDefault="00BF609B" w:rsidP="00B82F94">
      <w:r>
        <w:t>A rare disease is defined by the Orphan Drug Act</w:t>
      </w:r>
      <w:r w:rsidR="00D20B9E">
        <w:rPr>
          <w:rStyle w:val="EndnoteReference"/>
        </w:rPr>
        <w:endnoteReference w:id="1"/>
      </w:r>
      <w:r>
        <w:t xml:space="preserve"> of 1983 as a disorder or condition that affects less than 200,000 persons in the United States.  However, most rare diseases affect far fewer persons.  A natural challenge for a clinical development program in rare disease population is the small number of patients available for enrollment.</w:t>
      </w:r>
      <w:r w:rsidR="00964B58">
        <w:t xml:space="preserve">  The Orphan Drug Act provides incentives to financially help the development of such treatments; however, </w:t>
      </w:r>
      <w:r w:rsidR="00683203">
        <w:t xml:space="preserve">it </w:t>
      </w:r>
      <w:r w:rsidR="00964B58">
        <w:t xml:space="preserve">does not create a statutory standard for the approval of orphan drugs that is different from the standard for drugs </w:t>
      </w:r>
      <w:r w:rsidR="001C0897">
        <w:t xml:space="preserve">developed </w:t>
      </w:r>
      <w:r w:rsidR="00964B58">
        <w:t>for common conditions.</w:t>
      </w:r>
    </w:p>
    <w:p w:rsidR="0041562C" w:rsidRDefault="0041562C" w:rsidP="00B82F94">
      <w:r>
        <w:t>Since the Orphan Drug Act, the FDA received over 4800 requests and over 3400 orphan product designations were granted.  A majority of these designations were for drugs and the rest biologics.  The top two therapeutic categories in Years 2013 and 2014 are oncology and neurology.  Both the number of submissions and approvals for orphan products are increasing.  To date, over 500 approvals were issued and 48 in 2014 alone.</w:t>
      </w:r>
    </w:p>
    <w:p w:rsidR="00964B58" w:rsidRDefault="00331E54" w:rsidP="00B82F94">
      <w:r>
        <w:t>The statutory requirement for all</w:t>
      </w:r>
      <w:r w:rsidR="00FA5DED">
        <w:t xml:space="preserve"> drug approval</w:t>
      </w:r>
      <w:r>
        <w:t>s</w:t>
      </w:r>
      <w:r w:rsidR="00FA5DED">
        <w:t xml:space="preserve"> </w:t>
      </w:r>
      <w:r>
        <w:t>is</w:t>
      </w:r>
      <w:r w:rsidR="00FA5DED">
        <w:t xml:space="preserve"> demonstration of substantial evidence </w:t>
      </w:r>
      <w:r>
        <w:t xml:space="preserve">of effectiveness in treating or preventing the condition and evidence of safety for that use.  </w:t>
      </w:r>
      <w:r w:rsidR="0013577A">
        <w:t>Substantial e</w:t>
      </w:r>
      <w:r>
        <w:t>vidence of effectiveness should be obtained from one or more adequate and well-controlled studies, each convincing on its own.  FDA acknowledges the difficulties for such requirements implementation in rare diseases, and provides flexibility because of the many types and intended uses of drugs.  In particular, FDA "exer</w:t>
      </w:r>
      <w:r w:rsidR="00A651E2">
        <w:t>cise[s] its scientific judgment" in determining the kind and quantity of data a sponsor is required to provide for individual drug development programs.</w:t>
      </w:r>
      <w:r w:rsidR="00D20B9E">
        <w:rPr>
          <w:rStyle w:val="EndnoteReference"/>
        </w:rPr>
        <w:endnoteReference w:id="2"/>
      </w:r>
      <w:r w:rsidR="00BE32A9">
        <w:t xml:space="preserve">  This flexibility extends from early phase of development to design of adequate and well-controlled clinical studies required to demonstrate safety and effectiveness to support marketing approval.</w:t>
      </w:r>
      <w:r w:rsidR="004B701A">
        <w:t xml:space="preserve"> </w:t>
      </w:r>
    </w:p>
    <w:p w:rsidR="0059667C" w:rsidRDefault="00C860A8" w:rsidP="00B82F94">
      <w:r>
        <w:t xml:space="preserve">Before </w:t>
      </w:r>
      <w:r w:rsidR="00F40B51">
        <w:t>considering detailed aspects of trial designs suitable for rare diseases</w:t>
      </w:r>
      <w:r>
        <w:t>, careful attention should be paid to endpoints selection</w:t>
      </w:r>
      <w:r w:rsidR="00F40B51">
        <w:t>.  Choosing endp</w:t>
      </w:r>
      <w:r w:rsidR="007F3F03">
        <w:t>o</w:t>
      </w:r>
      <w:r w:rsidR="00F40B51">
        <w:t>ints</w:t>
      </w:r>
      <w:r w:rsidR="00DF228C">
        <w:t xml:space="preserve"> can be</w:t>
      </w:r>
      <w:r>
        <w:t xml:space="preserve"> especially difficult for rare diseases due to lack of knowledge </w:t>
      </w:r>
      <w:r w:rsidR="00DF228C">
        <w:t>of</w:t>
      </w:r>
      <w:r>
        <w:t xml:space="preserve"> disease progression.  The endpoints for the clinical trial should be both feasible and clinical</w:t>
      </w:r>
      <w:r w:rsidR="00DF228C">
        <w:t>ly</w:t>
      </w:r>
      <w:r>
        <w:t xml:space="preserve"> meaningful.  They can be </w:t>
      </w:r>
      <w:r w:rsidR="00D20B9E">
        <w:t xml:space="preserve">decided based on </w:t>
      </w:r>
      <w:r>
        <w:t xml:space="preserve">knowledge </w:t>
      </w:r>
      <w:r w:rsidR="00DF228C">
        <w:t>of</w:t>
      </w:r>
      <w:r>
        <w:t xml:space="preserve"> either</w:t>
      </w:r>
      <w:r w:rsidR="00DF228C">
        <w:t xml:space="preserve"> the nature of</w:t>
      </w:r>
      <w:r>
        <w:t xml:space="preserve"> </w:t>
      </w:r>
      <w:r w:rsidR="00DF228C">
        <w:t xml:space="preserve">the rare </w:t>
      </w:r>
      <w:r>
        <w:t>disease</w:t>
      </w:r>
      <w:r w:rsidR="00DF228C">
        <w:t xml:space="preserve"> </w:t>
      </w:r>
      <w:r w:rsidR="00D20B9E">
        <w:t xml:space="preserve">derived from a natural history study </w:t>
      </w:r>
      <w:r>
        <w:t xml:space="preserve">or </w:t>
      </w:r>
      <w:r w:rsidR="00DF228C">
        <w:t xml:space="preserve">the </w:t>
      </w:r>
      <w:r>
        <w:t>pharmacological effect</w:t>
      </w:r>
      <w:r w:rsidR="00DF228C">
        <w:t>s</w:t>
      </w:r>
      <w:r>
        <w:t xml:space="preserve"> of the investigational drugs or interventions.  Surrogate endpoints </w:t>
      </w:r>
      <w:r w:rsidR="001D15FD">
        <w:t xml:space="preserve">that are able to be accurately measured earlier in follow-up than </w:t>
      </w:r>
      <w:r w:rsidR="001D15FD">
        <w:lastRenderedPageBreak/>
        <w:t xml:space="preserve">clinical endpoints and are thought to be reasonably likely to predict clinical benefit </w:t>
      </w:r>
      <w:r>
        <w:t xml:space="preserve">are often used </w:t>
      </w:r>
      <w:r w:rsidR="001D15FD">
        <w:t>in</w:t>
      </w:r>
      <w:r>
        <w:t xml:space="preserve"> rare disease</w:t>
      </w:r>
      <w:r w:rsidR="001D15FD">
        <w:t xml:space="preserve"> trial</w:t>
      </w:r>
      <w:r>
        <w:t xml:space="preserve">s.  </w:t>
      </w:r>
      <w:r w:rsidR="00D20B9E">
        <w:t>Trial designs should be suitable for the endpoints of interest.</w:t>
      </w:r>
    </w:p>
    <w:p w:rsidR="00C175E5" w:rsidRDefault="00C175E5" w:rsidP="00C175E5">
      <w:pPr>
        <w:rPr>
          <w:u w:val="single"/>
        </w:rPr>
      </w:pPr>
      <w:r>
        <w:rPr>
          <w:u w:val="single"/>
        </w:rPr>
        <w:t>Trial Designs</w:t>
      </w:r>
    </w:p>
    <w:p w:rsidR="0025232B" w:rsidRPr="0025232B" w:rsidRDefault="00A04C6A" w:rsidP="00C175E5">
      <w:r>
        <w:t xml:space="preserve">The limited </w:t>
      </w:r>
      <w:r w:rsidR="001D15FD">
        <w:t xml:space="preserve">number of </w:t>
      </w:r>
      <w:r>
        <w:t>patient</w:t>
      </w:r>
      <w:r w:rsidR="001D15FD">
        <w:t>s</w:t>
      </w:r>
      <w:r>
        <w:t xml:space="preserve"> </w:t>
      </w:r>
      <w:r w:rsidR="001D15FD">
        <w:t xml:space="preserve">in a rare disease population </w:t>
      </w:r>
      <w:r w:rsidR="00D04DA1">
        <w:t>make</w:t>
      </w:r>
      <w:r w:rsidR="00031278">
        <w:t>s</w:t>
      </w:r>
      <w:r>
        <w:t xml:space="preserve"> the size of the </w:t>
      </w:r>
      <w:r w:rsidR="001D15FD">
        <w:t xml:space="preserve">clinical </w:t>
      </w:r>
      <w:r>
        <w:t>trial</w:t>
      </w:r>
      <w:r w:rsidR="001D15FD">
        <w:t>s</w:t>
      </w:r>
      <w:r w:rsidR="00D04DA1">
        <w:t xml:space="preserve"> </w:t>
      </w:r>
      <w:r w:rsidR="00031278">
        <w:t xml:space="preserve">conducted in that population </w:t>
      </w:r>
      <w:r w:rsidR="00D04DA1">
        <w:t>small</w:t>
      </w:r>
      <w:r>
        <w:t xml:space="preserve">, and </w:t>
      </w:r>
      <w:r w:rsidR="000E68E4">
        <w:t xml:space="preserve">that </w:t>
      </w:r>
      <w:r>
        <w:t>in turn restrict</w:t>
      </w:r>
      <w:r w:rsidR="000E68E4">
        <w:t>s</w:t>
      </w:r>
      <w:r>
        <w:t xml:space="preserve"> the usage of inferential statistics.  </w:t>
      </w:r>
      <w:r w:rsidR="006E0636">
        <w:t xml:space="preserve">With the usual requirements </w:t>
      </w:r>
      <w:r w:rsidR="001D15FD">
        <w:t>for</w:t>
      </w:r>
      <w:r w:rsidR="006E0636">
        <w:t xml:space="preserve"> significance level and study power, small population trials with a conventional design may only be able to detect</w:t>
      </w:r>
      <w:r w:rsidR="001D15FD">
        <w:t xml:space="preserve"> very</w:t>
      </w:r>
      <w:r w:rsidR="006E0636">
        <w:t xml:space="preserve"> large intervention effects.  It is </w:t>
      </w:r>
      <w:r w:rsidR="001D15FD">
        <w:t>therefore necessary</w:t>
      </w:r>
      <w:r w:rsidR="006E0636">
        <w:t xml:space="preserve"> </w:t>
      </w:r>
      <w:r>
        <w:t>to practice flexibility in establishing evidence of effectiveness and safety in rare diseases</w:t>
      </w:r>
      <w:r w:rsidR="001D15FD">
        <w:t>,</w:t>
      </w:r>
      <w:r w:rsidR="006E0636">
        <w:t xml:space="preserve"> and t</w:t>
      </w:r>
      <w:r w:rsidR="00F44937">
        <w:t>here are many ways</w:t>
      </w:r>
      <w:r w:rsidR="001D15FD">
        <w:t xml:space="preserve"> this can be accomplished</w:t>
      </w:r>
      <w:r>
        <w:t xml:space="preserve">.  </w:t>
      </w:r>
      <w:r w:rsidR="0036508E">
        <w:t>Historically</w:t>
      </w:r>
      <w:r w:rsidR="001D12BB">
        <w:t xml:space="preserve">, FDA has </w:t>
      </w:r>
      <w:r w:rsidR="001D15FD">
        <w:t>allowed the following</w:t>
      </w:r>
      <w:r w:rsidR="0096047B">
        <w:t xml:space="preserve"> program options to provide development of a rare disease therapy:</w:t>
      </w:r>
      <w:r w:rsidR="001D15FD">
        <w:t xml:space="preserve"> </w:t>
      </w:r>
      <w:r w:rsidR="001D12BB">
        <w:t xml:space="preserve"> </w:t>
      </w:r>
      <w:r>
        <w:t xml:space="preserve">1) </w:t>
      </w:r>
      <w:r w:rsidR="001D12BB">
        <w:t xml:space="preserve">one </w:t>
      </w:r>
      <w:r w:rsidR="00031278">
        <w:t>adequate and well-controlled trial</w:t>
      </w:r>
      <w:r w:rsidR="001D12BB">
        <w:t xml:space="preserve"> with supporting evidence</w:t>
      </w:r>
      <w:r w:rsidR="0096047B">
        <w:t xml:space="preserve"> from pharmacological data or other sour</w:t>
      </w:r>
      <w:r w:rsidR="007F3F03">
        <w:t>c</w:t>
      </w:r>
      <w:r w:rsidR="0096047B">
        <w:t>es</w:t>
      </w:r>
      <w:r w:rsidR="001D12BB">
        <w:t xml:space="preserve">, </w:t>
      </w:r>
      <w:r>
        <w:t>2)</w:t>
      </w:r>
      <w:r w:rsidR="001D12BB">
        <w:t xml:space="preserve"> a single-arm, non-r</w:t>
      </w:r>
      <w:r>
        <w:t>andomized, open-label</w:t>
      </w:r>
      <w:r w:rsidR="00031278">
        <w:t xml:space="preserve"> trial</w:t>
      </w:r>
      <w:r>
        <w:t>, and</w:t>
      </w:r>
      <w:r w:rsidR="001D12BB">
        <w:t xml:space="preserve"> </w:t>
      </w:r>
      <w:r>
        <w:t xml:space="preserve">3) </w:t>
      </w:r>
      <w:r w:rsidR="00031278">
        <w:t xml:space="preserve">a single adequate and well-controlled trial with </w:t>
      </w:r>
      <w:r w:rsidR="001D12BB">
        <w:t>the significance level</w:t>
      </w:r>
      <w:r w:rsidR="00031278">
        <w:t xml:space="preserve"> relaxed somewhat</w:t>
      </w:r>
      <w:r w:rsidR="001D12BB">
        <w:t>.</w:t>
      </w:r>
      <w:r>
        <w:t xml:space="preserve">  Although the</w:t>
      </w:r>
      <w:r w:rsidR="00031278">
        <w:t>se</w:t>
      </w:r>
      <w:r>
        <w:t xml:space="preserve"> may</w:t>
      </w:r>
      <w:r w:rsidR="006E0636">
        <w:t xml:space="preserve"> be the only feasible approach</w:t>
      </w:r>
      <w:r w:rsidR="00F12737">
        <w:t>es</w:t>
      </w:r>
      <w:r w:rsidR="006E0636">
        <w:t>,</w:t>
      </w:r>
      <w:r w:rsidR="00031278">
        <w:t xml:space="preserve"> careful</w:t>
      </w:r>
      <w:r w:rsidR="00F44937">
        <w:t xml:space="preserve"> </w:t>
      </w:r>
      <w:r w:rsidR="006E0636">
        <w:t>consideration should be paid</w:t>
      </w:r>
      <w:r w:rsidR="001D15FD">
        <w:t xml:space="preserve"> to</w:t>
      </w:r>
      <w:r w:rsidR="006E0636">
        <w:t xml:space="preserve"> the </w:t>
      </w:r>
      <w:r w:rsidR="00F44937">
        <w:t>consequences</w:t>
      </w:r>
      <w:r w:rsidR="00031278">
        <w:t>,</w:t>
      </w:r>
      <w:r w:rsidR="00F44937">
        <w:t xml:space="preserve"> and other options should be explored</w:t>
      </w:r>
      <w:r w:rsidR="001D15FD">
        <w:t>, when possible</w:t>
      </w:r>
      <w:r w:rsidR="00F44937">
        <w:t>.</w:t>
      </w:r>
    </w:p>
    <w:p w:rsidR="0025232B" w:rsidRDefault="00D96CB2" w:rsidP="00C175E5">
      <w:r>
        <w:t xml:space="preserve">A control group is critical to </w:t>
      </w:r>
      <w:r w:rsidR="00031278">
        <w:t xml:space="preserve">the ability to </w:t>
      </w:r>
      <w:r>
        <w:t>estimate the true treatment effect</w:t>
      </w:r>
      <w:r w:rsidR="00031278">
        <w:t xml:space="preserve"> of an investigational therapy</w:t>
      </w:r>
      <w:r>
        <w:t xml:space="preserve">.  </w:t>
      </w:r>
      <w:r w:rsidR="00112587">
        <w:t xml:space="preserve">There are three </w:t>
      </w:r>
      <w:r w:rsidR="00031278">
        <w:t xml:space="preserve">types of </w:t>
      </w:r>
      <w:r w:rsidR="00112587">
        <w:t>control group</w:t>
      </w:r>
      <w:r w:rsidR="00031278">
        <w:t>s</w:t>
      </w:r>
      <w:r w:rsidR="00112587">
        <w:t xml:space="preserve"> </w:t>
      </w:r>
      <w:r w:rsidR="00031278">
        <w:t>typically considered for use in rare disease trials</w:t>
      </w:r>
      <w:r w:rsidR="00112587">
        <w:t>: h</w:t>
      </w:r>
      <w:r w:rsidR="00806B1F">
        <w:t>istorical control</w:t>
      </w:r>
      <w:r w:rsidR="00031278">
        <w:t>s</w:t>
      </w:r>
      <w:r w:rsidR="00806B1F">
        <w:t>, patient self-</w:t>
      </w:r>
      <w:r w:rsidR="00112587">
        <w:t>control</w:t>
      </w:r>
      <w:r w:rsidR="00031278">
        <w:t>s</w:t>
      </w:r>
      <w:r w:rsidR="00112587">
        <w:t>, concurrent control</w:t>
      </w:r>
      <w:r w:rsidR="00031278">
        <w:t>s</w:t>
      </w:r>
      <w:r w:rsidR="00112587">
        <w:t>.</w:t>
      </w:r>
    </w:p>
    <w:p w:rsidR="00B36D62" w:rsidRDefault="00112587" w:rsidP="00C175E5">
      <w:r>
        <w:t xml:space="preserve">The source of historical control </w:t>
      </w:r>
      <w:r w:rsidR="00031278">
        <w:t xml:space="preserve">data </w:t>
      </w:r>
      <w:r>
        <w:t xml:space="preserve">may be scarce on its own for rare diseases.  Patient-level data are often not available or not of the same quality </w:t>
      </w:r>
      <w:r w:rsidR="00031278">
        <w:t xml:space="preserve">as data from prospectively designed clinical trials </w:t>
      </w:r>
      <w:r>
        <w:t>FDA usually requires</w:t>
      </w:r>
      <w:r w:rsidR="00031278">
        <w:t xml:space="preserve"> to support approval</w:t>
      </w:r>
      <w:r>
        <w:t xml:space="preserve">.  </w:t>
      </w:r>
      <w:r w:rsidR="00B36D62">
        <w:t xml:space="preserve">Moreover, some historical data are from a different group of patients whose disease status or diagnoses cannot be verified.  The standard of care may vary significantly at different times and different locations.  It should also be noted that patients under any standard of care may not represent the natural course of the disease.  All these elements </w:t>
      </w:r>
      <w:r w:rsidR="00031278">
        <w:t>present difficulties in</w:t>
      </w:r>
      <w:r w:rsidR="00B36D62">
        <w:t xml:space="preserve"> the use of patient registry data or natural history studies as a comparator.</w:t>
      </w:r>
    </w:p>
    <w:p w:rsidR="00B36D62" w:rsidRDefault="00B36D62" w:rsidP="00C175E5">
      <w:r>
        <w:t xml:space="preserve">Using patient-self as its control means either comparing the outcome </w:t>
      </w:r>
      <w:r w:rsidR="00031278">
        <w:t>to</w:t>
      </w:r>
      <w:r>
        <w:t xml:space="preserve"> the baseline value</w:t>
      </w:r>
      <w:r w:rsidR="00031278">
        <w:t xml:space="preserve"> for the same patient</w:t>
      </w:r>
      <w:r>
        <w:t xml:space="preserve"> or comparing the outcomes from two periods of a cross-over design.  </w:t>
      </w:r>
      <w:r w:rsidR="00F428CA">
        <w:t>C</w:t>
      </w:r>
      <w:r>
        <w:t>hange from baseline values</w:t>
      </w:r>
      <w:r w:rsidR="00F428CA">
        <w:t xml:space="preserve"> </w:t>
      </w:r>
      <w:r>
        <w:t>do not account for changes unrelated to treatment.</w:t>
      </w:r>
      <w:r w:rsidR="00F428CA">
        <w:t xml:space="preserve">  One should also take into account</w:t>
      </w:r>
      <w:r w:rsidR="00031278">
        <w:t xml:space="preserve"> the impact</w:t>
      </w:r>
      <w:r w:rsidR="00F428CA">
        <w:t xml:space="preserve"> of regression to the mean, especially</w:t>
      </w:r>
      <w:r w:rsidR="00031278">
        <w:t xml:space="preserve"> when</w:t>
      </w:r>
      <w:r w:rsidR="00F428CA">
        <w:t xml:space="preserve"> only a more severe stage of </w:t>
      </w:r>
      <w:r w:rsidR="00031278">
        <w:t xml:space="preserve">the </w:t>
      </w:r>
      <w:r w:rsidR="00F428CA">
        <w:t>disease is</w:t>
      </w:r>
      <w:r w:rsidR="00031278">
        <w:t xml:space="preserve"> represented</w:t>
      </w:r>
      <w:r w:rsidR="00F428CA">
        <w:t xml:space="preserve"> in the study.  Without a proper control or know</w:t>
      </w:r>
      <w:r w:rsidR="00031278">
        <w:t>ledge or</w:t>
      </w:r>
      <w:r w:rsidR="00F428CA">
        <w:t xml:space="preserve"> the natural history of </w:t>
      </w:r>
      <w:r w:rsidR="00031278">
        <w:t>the</w:t>
      </w:r>
      <w:r w:rsidR="00F428CA">
        <w:t xml:space="preserve"> disease, accurately measuring the treatment effect could be challenging and</w:t>
      </w:r>
      <w:r w:rsidR="005D534C">
        <w:t>/</w:t>
      </w:r>
      <w:r w:rsidR="00031278">
        <w:t>or spontaneous improvement</w:t>
      </w:r>
      <w:r w:rsidR="00F428CA">
        <w:t xml:space="preserve"> may be misinterpreted as </w:t>
      </w:r>
      <w:r w:rsidR="00031278">
        <w:t xml:space="preserve">evidence of </w:t>
      </w:r>
      <w:r w:rsidR="00F428CA">
        <w:t>a treatment effect.</w:t>
      </w:r>
    </w:p>
    <w:p w:rsidR="00F428CA" w:rsidRDefault="00F428CA" w:rsidP="00C175E5">
      <w:r>
        <w:t>The benefit of a con</w:t>
      </w:r>
      <w:r w:rsidR="00776C7C">
        <w:t>current control</w:t>
      </w:r>
      <w:r w:rsidR="00350207">
        <w:t xml:space="preserve"> group</w:t>
      </w:r>
      <w:r w:rsidR="00776C7C">
        <w:t xml:space="preserve"> is that it</w:t>
      </w:r>
      <w:r w:rsidR="00350207">
        <w:t>s use in comparative analyses</w:t>
      </w:r>
      <w:r w:rsidR="00776C7C">
        <w:t xml:space="preserve"> eliminates </w:t>
      </w:r>
      <w:r w:rsidR="00350207">
        <w:t xml:space="preserve">the potential for </w:t>
      </w:r>
      <w:r w:rsidR="00776C7C">
        <w:t>bias due to differences in patient population</w:t>
      </w:r>
      <w:r w:rsidR="00350207">
        <w:t>s</w:t>
      </w:r>
      <w:r w:rsidR="00776C7C">
        <w:t>, time periods, locations, and regression to the mean</w:t>
      </w:r>
      <w:r w:rsidR="00670559">
        <w:t xml:space="preserve"> associated with the use of historical or patient self-controls</w:t>
      </w:r>
      <w:r w:rsidR="00776C7C">
        <w:t xml:space="preserve">.  Furthermore, it allows consistent reporting of prognostic factors </w:t>
      </w:r>
      <w:r w:rsidR="00670559">
        <w:t xml:space="preserve">in </w:t>
      </w:r>
      <w:r w:rsidR="00776C7C">
        <w:t xml:space="preserve">data collection.  </w:t>
      </w:r>
      <w:r w:rsidR="00CA3BA5">
        <w:t>Although the benefit is obvious</w:t>
      </w:r>
      <w:r w:rsidR="00776C7C">
        <w:t xml:space="preserve">, it </w:t>
      </w:r>
      <w:r w:rsidR="00CA3BA5">
        <w:t xml:space="preserve">is universally recognized that </w:t>
      </w:r>
      <w:r w:rsidR="00670559">
        <w:t xml:space="preserve">including </w:t>
      </w:r>
      <w:r w:rsidR="00776C7C">
        <w:t xml:space="preserve">a concurrent placebo control </w:t>
      </w:r>
      <w:r w:rsidR="00670559">
        <w:t xml:space="preserve">group </w:t>
      </w:r>
      <w:r w:rsidR="00CA3BA5">
        <w:t xml:space="preserve">may not always be ethical </w:t>
      </w:r>
      <w:r w:rsidR="00776C7C">
        <w:t>for rare disease trials.</w:t>
      </w:r>
      <w:r w:rsidR="00CA3BA5">
        <w:t xml:space="preserve">  Other </w:t>
      </w:r>
      <w:r w:rsidR="00CA3BA5">
        <w:lastRenderedPageBreak/>
        <w:t xml:space="preserve">options, such as </w:t>
      </w:r>
      <w:r w:rsidR="00670559">
        <w:t xml:space="preserve">the use of a </w:t>
      </w:r>
      <w:r w:rsidR="00CA3BA5">
        <w:t xml:space="preserve">very low dose of the </w:t>
      </w:r>
      <w:r w:rsidR="00AD3547">
        <w:t>investigational</w:t>
      </w:r>
      <w:r w:rsidR="00CA3BA5">
        <w:t xml:space="preserve"> treatment</w:t>
      </w:r>
      <w:r w:rsidR="00670559">
        <w:t xml:space="preserve"> or</w:t>
      </w:r>
      <w:r w:rsidR="00CA3BA5">
        <w:t xml:space="preserve"> standard of care</w:t>
      </w:r>
      <w:r w:rsidR="00670559">
        <w:t xml:space="preserve"> as a concurrent control </w:t>
      </w:r>
      <w:r w:rsidR="00CA3BA5">
        <w:t>may be</w:t>
      </w:r>
      <w:r w:rsidR="00670559">
        <w:t xml:space="preserve"> more acceptable</w:t>
      </w:r>
      <w:r w:rsidR="00CA3BA5">
        <w:t>.</w:t>
      </w:r>
    </w:p>
    <w:p w:rsidR="00D96CB2" w:rsidRPr="0025232B" w:rsidRDefault="00D96CB2" w:rsidP="00C175E5">
      <w:r>
        <w:t>Once the control group is selected, some clinical trial features, such as randomization and blinding should also be weighed against ethical and logistic</w:t>
      </w:r>
      <w:r w:rsidR="002A28B1">
        <w:t>al</w:t>
      </w:r>
      <w:r>
        <w:t xml:space="preserve"> considerations in rare disease clinical </w:t>
      </w:r>
      <w:r w:rsidR="002A28B1">
        <w:t>trials</w:t>
      </w:r>
      <w:r>
        <w:t xml:space="preserve"> to </w:t>
      </w:r>
      <w:r w:rsidR="00842B95">
        <w:t xml:space="preserve">ensure the interpretability of the trial results.  </w:t>
      </w:r>
      <w:r w:rsidR="00672946">
        <w:t xml:space="preserve">Additional </w:t>
      </w:r>
      <w:r w:rsidR="00842B95">
        <w:t xml:space="preserve">attention should be paid </w:t>
      </w:r>
      <w:r w:rsidR="002A28B1">
        <w:t>to the</w:t>
      </w:r>
      <w:r w:rsidR="00842B95">
        <w:t xml:space="preserve"> data collection process to ensure data quality because of the limited sources of data on rare diseases.</w:t>
      </w:r>
    </w:p>
    <w:p w:rsidR="008D59EE" w:rsidRDefault="008D59EE" w:rsidP="00C175E5">
      <w:pPr>
        <w:rPr>
          <w:i/>
        </w:rPr>
      </w:pPr>
      <w:r w:rsidRPr="008D59EE">
        <w:rPr>
          <w:i/>
        </w:rPr>
        <w:t>Trial Design Options</w:t>
      </w:r>
    </w:p>
    <w:p w:rsidR="008D59EE" w:rsidRDefault="008D59EE" w:rsidP="008D59EE">
      <w:pPr>
        <w:numPr>
          <w:ilvl w:val="0"/>
          <w:numId w:val="5"/>
        </w:numPr>
      </w:pPr>
      <w:r>
        <w:t>Parallel group design</w:t>
      </w:r>
    </w:p>
    <w:p w:rsidR="00CD2183" w:rsidRDefault="00DB3D39" w:rsidP="00426CEB">
      <w:pPr>
        <w:ind w:left="720"/>
      </w:pPr>
      <w:r>
        <w:t>This is the traditional and most popular design for clinical trials.  Either using placebo or an active control, along with randomization and blinding, this design has obvious benefit</w:t>
      </w:r>
      <w:r w:rsidR="002A28B1">
        <w:t>s</w:t>
      </w:r>
      <w:r>
        <w:t xml:space="preserve"> in both trial conduct and data analyses.  However, it may not be feasible or ethical for a small trial as discussed above.</w:t>
      </w:r>
      <w:r w:rsidR="0015212F">
        <w:t xml:space="preserve">  Some features, such as interim futility analysis and group sequential design, can be incorporated to increase efficiency.</w:t>
      </w:r>
    </w:p>
    <w:p w:rsidR="008D59EE" w:rsidRDefault="008D59EE" w:rsidP="008D59EE">
      <w:pPr>
        <w:numPr>
          <w:ilvl w:val="0"/>
          <w:numId w:val="5"/>
        </w:numPr>
      </w:pPr>
      <w:r>
        <w:t>Repeated measures design</w:t>
      </w:r>
    </w:p>
    <w:p w:rsidR="00DB3D39" w:rsidRDefault="00DB3D39" w:rsidP="00426CEB">
      <w:pPr>
        <w:ind w:left="720"/>
      </w:pPr>
      <w:r>
        <w:t>This design collects repeated measurements of an endpoint from the same subjects in a longitudinal study.  Although this design may increase the information collected from</w:t>
      </w:r>
      <w:r w:rsidR="002A28B1">
        <w:t xml:space="preserve"> each patient in</w:t>
      </w:r>
      <w:r>
        <w:t xml:space="preserve"> a trial, it may introduce more measurement error and may not be suitable for some endpoints, such as</w:t>
      </w:r>
      <w:r w:rsidR="003578C8">
        <w:t xml:space="preserve"> clinical response.</w:t>
      </w:r>
    </w:p>
    <w:p w:rsidR="008D59EE" w:rsidRDefault="008D59EE" w:rsidP="008D59EE">
      <w:pPr>
        <w:numPr>
          <w:ilvl w:val="0"/>
          <w:numId w:val="5"/>
        </w:numPr>
      </w:pPr>
      <w:r>
        <w:t>Factorial design</w:t>
      </w:r>
    </w:p>
    <w:p w:rsidR="003578C8" w:rsidRDefault="003578C8" w:rsidP="00426CEB">
      <w:pPr>
        <w:ind w:left="720"/>
      </w:pPr>
      <w:r>
        <w:t>This design is conventionally used for a combination therapy to understand the contribution of each component without conducting separate trials.  It can reduce the number of subjects needed for the whole clinical development program.  This design could potentially test the interaction of the components</w:t>
      </w:r>
      <w:r w:rsidR="006A60D5">
        <w:t>.  However, it will lose the advantage in efficiency for that purpose.</w:t>
      </w:r>
    </w:p>
    <w:p w:rsidR="008D59EE" w:rsidRDefault="008D59EE" w:rsidP="008D59EE">
      <w:pPr>
        <w:numPr>
          <w:ilvl w:val="0"/>
          <w:numId w:val="5"/>
        </w:numPr>
      </w:pPr>
      <w:r>
        <w:t>Cross</w:t>
      </w:r>
      <w:r w:rsidR="00672946">
        <w:t>-</w:t>
      </w:r>
      <w:r>
        <w:t>over design</w:t>
      </w:r>
    </w:p>
    <w:p w:rsidR="006A60D5" w:rsidRDefault="006A60D5" w:rsidP="00426CEB">
      <w:pPr>
        <w:ind w:left="720"/>
      </w:pPr>
      <w:r>
        <w:t xml:space="preserve">Each patient receives all treatments or interventions, but randomly follows a specific sequence </w:t>
      </w:r>
      <w:r w:rsidR="002A28B1">
        <w:t xml:space="preserve">of treatments </w:t>
      </w:r>
      <w:r>
        <w:t xml:space="preserve">in this design.  The advantages include a reduction in </w:t>
      </w:r>
      <w:r w:rsidR="002A28B1">
        <w:t xml:space="preserve">the </w:t>
      </w:r>
      <w:r>
        <w:t>number of study subjects required to achieve statistical significance.  However, this design is only suitable for a</w:t>
      </w:r>
      <w:r w:rsidR="002A28B1">
        <w:t xml:space="preserve"> treatment of</w:t>
      </w:r>
      <w:r>
        <w:t xml:space="preserve"> short duration or intervention with an even shorter wash-out period.  Withdrawal effects of certain biological products may also preclude the usage of this design.</w:t>
      </w:r>
    </w:p>
    <w:p w:rsidR="008D59EE" w:rsidRDefault="008D59EE" w:rsidP="008D59EE">
      <w:pPr>
        <w:numPr>
          <w:ilvl w:val="0"/>
          <w:numId w:val="5"/>
        </w:numPr>
      </w:pPr>
      <w:r>
        <w:t xml:space="preserve">Enrichment </w:t>
      </w:r>
      <w:r w:rsidR="005E780F">
        <w:t>strategy</w:t>
      </w:r>
    </w:p>
    <w:p w:rsidR="006A60D5" w:rsidRDefault="00FE546B" w:rsidP="00426CEB">
      <w:pPr>
        <w:ind w:left="720"/>
      </w:pPr>
      <w:r>
        <w:t xml:space="preserve">Enrichment strategy includes several trial designs, such as randomized withdrawal design.  The purpose is to pre-select subjects, who more likely will respond to a treatment or intervention </w:t>
      </w:r>
      <w:r>
        <w:lastRenderedPageBreak/>
        <w:t>with more measurable responses.  This may be difficult for some rare diseases, of which we have very little knowledge.  It was elaborated in the draft guidance on enrichment strategies</w:t>
      </w:r>
      <w:r w:rsidR="00D20B9E">
        <w:rPr>
          <w:rStyle w:val="EndnoteReference"/>
        </w:rPr>
        <w:endnoteReference w:id="3"/>
      </w:r>
      <w:r>
        <w:t>.</w:t>
      </w:r>
    </w:p>
    <w:p w:rsidR="008D59EE" w:rsidRDefault="008D59EE" w:rsidP="008D59EE">
      <w:pPr>
        <w:numPr>
          <w:ilvl w:val="0"/>
          <w:numId w:val="5"/>
        </w:numPr>
      </w:pPr>
      <w:r>
        <w:t>N-of-1 design</w:t>
      </w:r>
    </w:p>
    <w:p w:rsidR="0015212F" w:rsidRDefault="002A28B1" w:rsidP="00426CEB">
      <w:pPr>
        <w:ind w:left="720"/>
      </w:pPr>
      <w:r>
        <w:t>With this design, t</w:t>
      </w:r>
      <w:r w:rsidR="00FE546B">
        <w:t>he clinician administer</w:t>
      </w:r>
      <w:r>
        <w:t>s</w:t>
      </w:r>
      <w:r w:rsidR="00FE546B">
        <w:t xml:space="preserve"> more than one treatment to a </w:t>
      </w:r>
      <w:r>
        <w:t xml:space="preserve">single </w:t>
      </w:r>
      <w:r w:rsidR="00FE546B">
        <w:t xml:space="preserve">patient </w:t>
      </w:r>
      <w:r>
        <w:t xml:space="preserve">during multiple treatment periods </w:t>
      </w:r>
      <w:r w:rsidR="00FE546B">
        <w:t xml:space="preserve">to achieve a desired effect.  </w:t>
      </w:r>
      <w:r>
        <w:t>T</w:t>
      </w:r>
      <w:r w:rsidR="00FE546B">
        <w:t>his</w:t>
      </w:r>
      <w:r>
        <w:t xml:space="preserve"> design</w:t>
      </w:r>
      <w:r w:rsidR="00FE546B">
        <w:t xml:space="preserve"> </w:t>
      </w:r>
      <w:r>
        <w:t>may be</w:t>
      </w:r>
      <w:r w:rsidR="00FE546B">
        <w:t xml:space="preserve"> more suitable for</w:t>
      </w:r>
      <w:r>
        <w:t xml:space="preserve"> determining an optimal treatment algorithm for individual patients and</w:t>
      </w:r>
      <w:r w:rsidR="00FE546B">
        <w:t xml:space="preserve"> is </w:t>
      </w:r>
      <w:r>
        <w:t>used only infrequently</w:t>
      </w:r>
      <w:r w:rsidR="0015212F">
        <w:t xml:space="preserve"> in </w:t>
      </w:r>
      <w:r>
        <w:t>drug development</w:t>
      </w:r>
      <w:r w:rsidR="00FE546B">
        <w:t>.</w:t>
      </w:r>
    </w:p>
    <w:p w:rsidR="008D59EE" w:rsidRDefault="008D59EE" w:rsidP="008D59EE">
      <w:pPr>
        <w:numPr>
          <w:ilvl w:val="0"/>
          <w:numId w:val="5"/>
        </w:numPr>
      </w:pPr>
      <w:r>
        <w:t>Ranking/Selection design</w:t>
      </w:r>
    </w:p>
    <w:p w:rsidR="0015212F" w:rsidRDefault="0015212F" w:rsidP="00426CEB">
      <w:pPr>
        <w:ind w:left="720"/>
      </w:pPr>
      <w:r w:rsidRPr="00FE5D48">
        <w:t>Ranking and selection procedures are statistical techniques for comparison of the parameters for multiple study populations under the assumption that these parameters are not all the same (Gibbons, Olkin, and Sobel, 1979</w:t>
      </w:r>
      <w:r w:rsidR="00D20B9E">
        <w:rPr>
          <w:rStyle w:val="EndnoteReference"/>
        </w:rPr>
        <w:endnoteReference w:id="4"/>
      </w:r>
      <w:r w:rsidRPr="00FE5D48">
        <w:t xml:space="preserve">). </w:t>
      </w:r>
      <w:r w:rsidR="003E670E" w:rsidRPr="00FE5D48">
        <w:t xml:space="preserve"> </w:t>
      </w:r>
      <w:r w:rsidR="0094719E">
        <w:t xml:space="preserve">The design may be beneficial in selecting a subgroup of </w:t>
      </w:r>
      <w:r w:rsidR="00ED7731">
        <w:t xml:space="preserve">a </w:t>
      </w:r>
      <w:r w:rsidR="0094719E">
        <w:t>population that is more responsive to the treatment or intervention.  It may be more efficient for a small trial.  However, it requires more planning at the design stage and some background knowledge of the disease, neither of which rare disease trials may afford.</w:t>
      </w:r>
    </w:p>
    <w:p w:rsidR="008D59EE" w:rsidRDefault="00536E4D" w:rsidP="003E670E">
      <w:pPr>
        <w:numPr>
          <w:ilvl w:val="0"/>
          <w:numId w:val="5"/>
        </w:numPr>
      </w:pPr>
      <w:r>
        <w:t xml:space="preserve">Multiple treatment </w:t>
      </w:r>
      <w:r w:rsidR="008D59EE">
        <w:t xml:space="preserve">arm </w:t>
      </w:r>
      <w:r>
        <w:t xml:space="preserve">trial </w:t>
      </w:r>
      <w:r w:rsidR="008D59EE">
        <w:t>with shared control (master protocol)</w:t>
      </w:r>
    </w:p>
    <w:p w:rsidR="0015212F" w:rsidRDefault="003E670E" w:rsidP="00426CEB">
      <w:pPr>
        <w:ind w:left="720"/>
      </w:pPr>
      <w:r>
        <w:t>This design brings</w:t>
      </w:r>
      <w:r w:rsidRPr="003E670E">
        <w:t xml:space="preserve"> multiple companies together to test multiple experimental </w:t>
      </w:r>
      <w:r>
        <w:t>treatments</w:t>
      </w:r>
      <w:r w:rsidRPr="003E670E">
        <w:t xml:space="preserve"> for </w:t>
      </w:r>
      <w:r>
        <w:t>the same disease</w:t>
      </w:r>
      <w:r w:rsidRPr="003E670E">
        <w:t xml:space="preserve"> </w:t>
      </w:r>
      <w:r>
        <w:t>using one master protocol</w:t>
      </w:r>
      <w:r w:rsidRPr="003E670E">
        <w:t>.</w:t>
      </w:r>
      <w:r>
        <w:t xml:space="preserve">  </w:t>
      </w:r>
      <w:r w:rsidR="00536E4D">
        <w:t>One</w:t>
      </w:r>
      <w:r>
        <w:t xml:space="preserve"> challenge of this design is in the logistics of having the companies with potentially conflict</w:t>
      </w:r>
      <w:r w:rsidR="00536E4D">
        <w:t>ing</w:t>
      </w:r>
      <w:r>
        <w:t xml:space="preserve"> interest</w:t>
      </w:r>
      <w:r w:rsidR="00536E4D">
        <w:t>s</w:t>
      </w:r>
      <w:r>
        <w:t xml:space="preserve"> share resources</w:t>
      </w:r>
      <w:r w:rsidR="00536E4D">
        <w:t xml:space="preserve"> and data</w:t>
      </w:r>
      <w:r>
        <w:t>.</w:t>
      </w:r>
    </w:p>
    <w:p w:rsidR="00CD2183" w:rsidRDefault="00CD2183" w:rsidP="008D59EE">
      <w:pPr>
        <w:numPr>
          <w:ilvl w:val="0"/>
          <w:numId w:val="5"/>
        </w:numPr>
      </w:pPr>
      <w:r>
        <w:t>Adaptive designs</w:t>
      </w:r>
    </w:p>
    <w:p w:rsidR="008D59EE" w:rsidRDefault="0015212F" w:rsidP="00426CEB">
      <w:pPr>
        <w:ind w:left="720"/>
      </w:pPr>
      <w:r>
        <w:t>This design is referring to any trial design</w:t>
      </w:r>
      <w:r w:rsidR="00884342">
        <w:t xml:space="preserve"> that incorporate</w:t>
      </w:r>
      <w:r w:rsidR="00536E4D">
        <w:t>s</w:t>
      </w:r>
      <w:r>
        <w:t xml:space="preserve"> adaptation </w:t>
      </w:r>
      <w:r w:rsidR="00536E4D">
        <w:t xml:space="preserve">of one or more design features </w:t>
      </w:r>
      <w:r>
        <w:t>during the</w:t>
      </w:r>
      <w:r w:rsidR="00536E4D">
        <w:t xml:space="preserve"> conduct of the</w:t>
      </w:r>
      <w:r>
        <w:t xml:space="preserve"> trial</w:t>
      </w:r>
      <w:r w:rsidR="00536E4D">
        <w:t>, e.g., inclusion/exclusion criteria, endpoint, sample size, etc</w:t>
      </w:r>
      <w:r>
        <w:t>.  Some adaptation</w:t>
      </w:r>
      <w:r w:rsidR="00536E4D">
        <w:t>s</w:t>
      </w:r>
      <w:r w:rsidR="007F3F03">
        <w:t xml:space="preserve"> </w:t>
      </w:r>
      <w:r>
        <w:t xml:space="preserve">are commonly </w:t>
      </w:r>
      <w:r w:rsidR="00536E4D">
        <w:t>used</w:t>
      </w:r>
      <w:r>
        <w:t>, such as sample size re-estimation, while others, such as Bayesian</w:t>
      </w:r>
      <w:r w:rsidR="00536E4D">
        <w:t xml:space="preserve"> adaptive</w:t>
      </w:r>
      <w:r>
        <w:t xml:space="preserve"> design, will need more investigations.  This is elaborated in the </w:t>
      </w:r>
      <w:r w:rsidR="00536E4D">
        <w:t xml:space="preserve">FDA </w:t>
      </w:r>
      <w:r>
        <w:t>draft guidance on adaptive design</w:t>
      </w:r>
      <w:r w:rsidR="00536E4D">
        <w:t>s</w:t>
      </w:r>
      <w:r w:rsidR="00D20B9E">
        <w:rPr>
          <w:rStyle w:val="EndnoteReference"/>
        </w:rPr>
        <w:endnoteReference w:id="5"/>
      </w:r>
      <w:r>
        <w:t>.</w:t>
      </w:r>
    </w:p>
    <w:p w:rsidR="008D59EE" w:rsidRDefault="003578C8" w:rsidP="008D59EE">
      <w:r>
        <w:t>None of the above trial designs are universally accepted as the design for a small population trial.  The design for a treatment or intervention should be carefully selected to be suitable for the biological background and to efficiently investigate the treatment or intervention</w:t>
      </w:r>
      <w:r w:rsidR="00536E4D">
        <w:t xml:space="preserve"> under study</w:t>
      </w:r>
      <w:r>
        <w:t>.</w:t>
      </w:r>
    </w:p>
    <w:p w:rsidR="00C175E5" w:rsidRDefault="0025232B" w:rsidP="00B82F94">
      <w:pPr>
        <w:rPr>
          <w:u w:val="single"/>
        </w:rPr>
      </w:pPr>
      <w:r>
        <w:rPr>
          <w:u w:val="single"/>
        </w:rPr>
        <w:t>Trial Conduct</w:t>
      </w:r>
    </w:p>
    <w:p w:rsidR="008D59EE" w:rsidRDefault="008D59EE" w:rsidP="00B82F94">
      <w:r>
        <w:t>With limited subjects' availability</w:t>
      </w:r>
      <w:r w:rsidR="00CF7AB3">
        <w:t xml:space="preserve"> and sometimes a more complicated trial design, </w:t>
      </w:r>
      <w:r w:rsidR="00D23D59">
        <w:t>holding</w:t>
      </w:r>
      <w:r w:rsidR="00CF7AB3">
        <w:t xml:space="preserve"> trial conduct</w:t>
      </w:r>
      <w:r w:rsidR="00D23D59">
        <w:t xml:space="preserve"> to a rigorous standard</w:t>
      </w:r>
      <w:r w:rsidR="00CF7AB3">
        <w:t xml:space="preserve"> is </w:t>
      </w:r>
      <w:r w:rsidR="00D23D59">
        <w:t>critical</w:t>
      </w:r>
      <w:r w:rsidR="00CF7AB3">
        <w:t xml:space="preserve"> for </w:t>
      </w:r>
      <w:r w:rsidR="0059667C">
        <w:t xml:space="preserve">small sample size </w:t>
      </w:r>
      <w:r w:rsidR="00884342">
        <w:t>trials</w:t>
      </w:r>
      <w:r w:rsidR="0059667C">
        <w:t xml:space="preserve">, where achieving a high level of accuracy is essential.  First and most important in trial conduct is to </w:t>
      </w:r>
      <w:r w:rsidR="00D23D59">
        <w:t>maximize</w:t>
      </w:r>
      <w:r w:rsidR="0059667C">
        <w:t xml:space="preserve"> data quality.  Th</w:t>
      </w:r>
      <w:r w:rsidR="00D23D59">
        <w:t>is goal requires obtaining</w:t>
      </w:r>
      <w:r w:rsidR="0059667C">
        <w:t xml:space="preserve"> </w:t>
      </w:r>
      <w:r w:rsidR="00D23D59">
        <w:t xml:space="preserve">accurate and </w:t>
      </w:r>
      <w:r w:rsidR="0059667C">
        <w:t>precise measurement</w:t>
      </w:r>
      <w:r w:rsidR="00D23D59">
        <w:t>s of key variables</w:t>
      </w:r>
      <w:r w:rsidR="0059667C">
        <w:t xml:space="preserve"> </w:t>
      </w:r>
      <w:r w:rsidR="00D23D59">
        <w:t>through implementation of</w:t>
      </w:r>
      <w:r w:rsidR="0059667C">
        <w:t xml:space="preserve"> standardized data collection</w:t>
      </w:r>
      <w:r w:rsidR="00D23D59">
        <w:t xml:space="preserve"> pro</w:t>
      </w:r>
      <w:r w:rsidR="007F3F03">
        <w:t>c</w:t>
      </w:r>
      <w:r w:rsidR="00D23D59">
        <w:t>esses</w:t>
      </w:r>
      <w:r w:rsidR="0059667C">
        <w:t xml:space="preserve">.  The overarching goal is to </w:t>
      </w:r>
      <w:r w:rsidR="00D23D59">
        <w:t xml:space="preserve">minimize bias in data ascertainment and </w:t>
      </w:r>
      <w:r w:rsidR="0059667C">
        <w:t>reduce</w:t>
      </w:r>
      <w:r w:rsidR="00D23D59">
        <w:t xml:space="preserve"> </w:t>
      </w:r>
      <w:r w:rsidR="00D23D59">
        <w:lastRenderedPageBreak/>
        <w:t>the</w:t>
      </w:r>
      <w:r w:rsidR="0059667C">
        <w:t xml:space="preserve"> measurement error </w:t>
      </w:r>
      <w:r w:rsidR="00D23D59">
        <w:t>of</w:t>
      </w:r>
      <w:r w:rsidR="0059667C">
        <w:t xml:space="preserve"> key variables </w:t>
      </w:r>
      <w:r w:rsidR="00B970AD">
        <w:t xml:space="preserve">in order </w:t>
      </w:r>
      <w:r w:rsidR="0059667C">
        <w:t xml:space="preserve">to increase </w:t>
      </w:r>
      <w:r w:rsidR="00B970AD">
        <w:t xml:space="preserve">the </w:t>
      </w:r>
      <w:r w:rsidR="00034C5E">
        <w:t xml:space="preserve">precision of estimates.  Other aspects that may aid trial conduct are training and monitoring.  </w:t>
      </w:r>
      <w:r w:rsidR="00B970AD">
        <w:t>Use of a</w:t>
      </w:r>
      <w:r w:rsidR="00034C5E">
        <w:t xml:space="preserve"> well-organized </w:t>
      </w:r>
      <w:r w:rsidR="00884342">
        <w:t>data monitoring committee (</w:t>
      </w:r>
      <w:r w:rsidR="00034C5E">
        <w:t>DMC</w:t>
      </w:r>
      <w:r w:rsidR="00884342">
        <w:t>)</w:t>
      </w:r>
      <w:r w:rsidR="00B970AD">
        <w:t xml:space="preserve"> to implement interim analyses</w:t>
      </w:r>
      <w:r w:rsidR="00034C5E">
        <w:t xml:space="preserve"> can enhance</w:t>
      </w:r>
      <w:r w:rsidR="00B970AD">
        <w:t xml:space="preserve"> </w:t>
      </w:r>
      <w:r w:rsidR="00034C5E">
        <w:t xml:space="preserve">trial </w:t>
      </w:r>
      <w:r w:rsidR="00884342">
        <w:t>conduct and efficiency</w:t>
      </w:r>
      <w:r w:rsidR="00034C5E">
        <w:t>.  Moreover, central training of clinic personnel on data acquisition and data entry and clinical monitoring and auditing of data collection can reduce measurement error and variability.</w:t>
      </w:r>
    </w:p>
    <w:p w:rsidR="00D23D59" w:rsidRDefault="00D23D59" w:rsidP="00B82F94">
      <w:r>
        <w:t>The National Academies of Sciences (NAS) report on missing data</w:t>
      </w:r>
      <w:r>
        <w:rPr>
          <w:rStyle w:val="EndnoteReference"/>
        </w:rPr>
        <w:endnoteReference w:id="6"/>
      </w:r>
      <w:r>
        <w:t xml:space="preserve"> strongly recommends the use of prevention strategies to reduce the amount of missing data in any clinical trial, and this recommendation is all the more important for small population trials.  Depending</w:t>
      </w:r>
      <w:r w:rsidR="006F296D">
        <w:t xml:space="preserve"> on the choice of estimand,</w:t>
      </w:r>
      <w:r>
        <w:t xml:space="preserve"> prevention</w:t>
      </w:r>
      <w:r w:rsidR="006F296D">
        <w:t xml:space="preserve"> strategies</w:t>
      </w:r>
      <w:r>
        <w:t xml:space="preserve"> may in</w:t>
      </w:r>
      <w:r w:rsidR="006F296D">
        <w:t>clude</w:t>
      </w:r>
      <w:r>
        <w:t xml:space="preserve"> re</w:t>
      </w:r>
      <w:r w:rsidR="006F296D">
        <w:t>trieving data from patients discontinuing treatment or dropping out, provided their informed consent allows such retrieval (</w:t>
      </w:r>
      <w:r w:rsidR="006F296D" w:rsidRPr="005442F4">
        <w:rPr>
          <w:highlight w:val="yellow"/>
        </w:rPr>
        <w:t>LaVange</w:t>
      </w:r>
      <w:r w:rsidR="0035349C">
        <w:rPr>
          <w:highlight w:val="yellow"/>
        </w:rPr>
        <w:t xml:space="preserve"> and</w:t>
      </w:r>
      <w:r w:rsidR="006F296D" w:rsidRPr="005442F4">
        <w:rPr>
          <w:highlight w:val="yellow"/>
        </w:rPr>
        <w:t xml:space="preserve"> Permutt, 2015</w:t>
      </w:r>
      <w:r w:rsidR="007C1D7E">
        <w:rPr>
          <w:rStyle w:val="EndnoteReference"/>
          <w:highlight w:val="yellow"/>
        </w:rPr>
        <w:endnoteReference w:id="7"/>
      </w:r>
      <w:r w:rsidR="006F296D">
        <w:t>)</w:t>
      </w:r>
      <w:r>
        <w:t>.  With limited number</w:t>
      </w:r>
      <w:r w:rsidR="006F296D">
        <w:t>s</w:t>
      </w:r>
      <w:r>
        <w:t xml:space="preserve"> of patients, accumulating all data</w:t>
      </w:r>
      <w:r w:rsidR="006F296D">
        <w:t xml:space="preserve"> needed for analysis</w:t>
      </w:r>
      <w:r>
        <w:t xml:space="preserve"> from study subjects and minimizing missing data</w:t>
      </w:r>
      <w:r w:rsidR="006F296D">
        <w:t xml:space="preserve"> where possible</w:t>
      </w:r>
      <w:r>
        <w:t xml:space="preserve"> is more important than</w:t>
      </w:r>
      <w:r w:rsidR="006F296D">
        <w:t xml:space="preserve"> with</w:t>
      </w:r>
      <w:r>
        <w:t xml:space="preserve"> a conventional design.  A properly designed trial and data collection plan, along with sufficient clinical staff training, may assist </w:t>
      </w:r>
      <w:r w:rsidR="006F296D">
        <w:t>in patient</w:t>
      </w:r>
      <w:r>
        <w:t xml:space="preserve"> retention.</w:t>
      </w:r>
    </w:p>
    <w:p w:rsidR="0025232B" w:rsidRDefault="0025232B" w:rsidP="00B82F94">
      <w:pPr>
        <w:rPr>
          <w:u w:val="single"/>
        </w:rPr>
      </w:pPr>
      <w:r>
        <w:rPr>
          <w:u w:val="single"/>
        </w:rPr>
        <w:t>Data Analysis</w:t>
      </w:r>
    </w:p>
    <w:p w:rsidR="00683AA0" w:rsidRDefault="00034C5E" w:rsidP="0025232B">
      <w:r>
        <w:t>Once data are collected</w:t>
      </w:r>
      <w:r w:rsidR="00900F3C">
        <w:t xml:space="preserve"> according to an appropriate trial design and standardized procedures</w:t>
      </w:r>
      <w:r>
        <w:t xml:space="preserve">, the small sample sizes make it essential to optimize data analysis strategies.  </w:t>
      </w:r>
      <w:r w:rsidR="006F296D">
        <w:t>E</w:t>
      </w:r>
      <w:r w:rsidR="00683AA0">
        <w:t>fficient statistical model</w:t>
      </w:r>
      <w:r w:rsidR="006F296D">
        <w:t>s and analysis methods should be considered</w:t>
      </w:r>
      <w:r w:rsidR="00900F3C">
        <w:t xml:space="preserve"> for effect estimation and hypothesis testing</w:t>
      </w:r>
      <w:r w:rsidR="006F296D">
        <w:t>.  For example,</w:t>
      </w:r>
      <w:r w:rsidR="00683AA0">
        <w:t xml:space="preserve"> </w:t>
      </w:r>
      <w:r w:rsidR="006F296D">
        <w:t xml:space="preserve">use of </w:t>
      </w:r>
      <w:r w:rsidR="00683AA0">
        <w:t>repeated measure</w:t>
      </w:r>
      <w:r w:rsidR="006F296D">
        <w:t>ments</w:t>
      </w:r>
      <w:r w:rsidR="00683AA0">
        <w:t xml:space="preserve"> model</w:t>
      </w:r>
      <w:r w:rsidR="006F296D">
        <w:t>s</w:t>
      </w:r>
      <w:r w:rsidR="00683AA0">
        <w:t xml:space="preserve"> </w:t>
      </w:r>
      <w:r w:rsidR="006F296D">
        <w:t xml:space="preserve">may have some advantages over </w:t>
      </w:r>
      <w:r w:rsidR="00900F3C">
        <w:t>analyses that are based only on</w:t>
      </w:r>
      <w:r w:rsidR="006F296D">
        <w:t xml:space="preserve"> the last observation in a trial.  Similarly, </w:t>
      </w:r>
      <w:r w:rsidR="00683AA0">
        <w:t>time-to-event analys</w:t>
      </w:r>
      <w:r w:rsidR="006F296D">
        <w:t>e</w:t>
      </w:r>
      <w:r w:rsidR="00683AA0">
        <w:t>s may be considered</w:t>
      </w:r>
      <w:r w:rsidR="00900F3C">
        <w:t xml:space="preserve"> in lieu of analyses of proportions responding</w:t>
      </w:r>
      <w:r w:rsidR="00683AA0">
        <w:t xml:space="preserve">.  </w:t>
      </w:r>
      <w:r w:rsidR="00900F3C">
        <w:t xml:space="preserve">If the primary outcome is based on a continuous measurement and not the occurrence of a discrete event, then analyzing the outcome with a linear model </w:t>
      </w:r>
      <w:r w:rsidR="007A6312">
        <w:t>(</w:t>
      </w:r>
      <w:r w:rsidR="00900F3C">
        <w:t xml:space="preserve">e.g., ANCOVA) will provide efficiencies compared to </w:t>
      </w:r>
      <w:r w:rsidR="007A6312">
        <w:t>determining a threshold for response and then conducting a responder analysis.</w:t>
      </w:r>
      <w:r w:rsidR="00900F3C">
        <w:t xml:space="preserve"> </w:t>
      </w:r>
      <w:r w:rsidR="007A6312">
        <w:t xml:space="preserve"> </w:t>
      </w:r>
      <w:r w:rsidR="00683AA0">
        <w:t xml:space="preserve">Covariate adjustment in a statistical model may also minimize variability of study outcomes and increase the ability </w:t>
      </w:r>
      <w:r w:rsidR="007A6312">
        <w:t>to</w:t>
      </w:r>
      <w:r w:rsidR="00683AA0">
        <w:t xml:space="preserve"> detect a clear signal</w:t>
      </w:r>
      <w:r w:rsidR="007A6312">
        <w:t xml:space="preserve"> of efficacy</w:t>
      </w:r>
      <w:r w:rsidR="00EF0A34">
        <w:t>.</w:t>
      </w:r>
      <w:r w:rsidR="00683AA0">
        <w:t xml:space="preserve">  The covariates to be included in the model should be both statistically and clinically meaningful and pre-specified in the protocol.</w:t>
      </w:r>
    </w:p>
    <w:p w:rsidR="007A6312" w:rsidRDefault="007A6312" w:rsidP="0025232B">
      <w:r>
        <w:t xml:space="preserve">Sensitivity analyses should be planned to assess the impact of assumptions required for the analysis to be valid on the trial’s results.  In particular, assumptions that are difficult to verify, e.g., </w:t>
      </w:r>
      <w:r w:rsidR="00663622">
        <w:t>a</w:t>
      </w:r>
      <w:r>
        <w:t xml:space="preserve">ssumptions </w:t>
      </w:r>
      <w:r w:rsidR="00663622">
        <w:t>about the missing data mechanism</w:t>
      </w:r>
      <w:r>
        <w:t>, should be evaluated with appropriate sensitivity analyses (</w:t>
      </w:r>
      <w:r w:rsidRPr="005442F4">
        <w:rPr>
          <w:highlight w:val="yellow"/>
        </w:rPr>
        <w:t>Permutt, 2015</w:t>
      </w:r>
      <w:r w:rsidR="007C1D7E">
        <w:rPr>
          <w:rStyle w:val="EndnoteReference"/>
          <w:highlight w:val="yellow"/>
        </w:rPr>
        <w:endnoteReference w:id="8"/>
      </w:r>
      <w:r>
        <w:t xml:space="preserve">).  </w:t>
      </w:r>
    </w:p>
    <w:p w:rsidR="00A85A68" w:rsidRDefault="005E5C36" w:rsidP="00426CEB">
      <w:pPr>
        <w:autoSpaceDE w:val="0"/>
        <w:autoSpaceDN w:val="0"/>
        <w:adjustRightInd w:val="0"/>
        <w:rPr>
          <w:u w:val="single"/>
        </w:rPr>
      </w:pPr>
      <w:r w:rsidRPr="00AE317D">
        <w:rPr>
          <w:rFonts w:cs="CMSS12"/>
          <w:lang w:eastAsia="en-US"/>
        </w:rPr>
        <w:t>For trials with s</w:t>
      </w:r>
      <w:r w:rsidR="000E68E4" w:rsidRPr="00AE317D">
        <w:rPr>
          <w:rFonts w:cs="CMSS12"/>
          <w:lang w:eastAsia="en-US"/>
        </w:rPr>
        <w:t>mall sample</w:t>
      </w:r>
      <w:r w:rsidR="00884342">
        <w:rPr>
          <w:rFonts w:cs="CMSS12"/>
          <w:lang w:eastAsia="en-US"/>
        </w:rPr>
        <w:t xml:space="preserve"> sizes</w:t>
      </w:r>
      <w:r w:rsidRPr="00AE317D">
        <w:rPr>
          <w:rFonts w:cs="CMSS12"/>
          <w:lang w:eastAsia="en-US"/>
        </w:rPr>
        <w:t xml:space="preserve">, </w:t>
      </w:r>
      <w:r w:rsidR="000E68E4" w:rsidRPr="00AE317D">
        <w:rPr>
          <w:rFonts w:cs="CMSS12"/>
          <w:lang w:eastAsia="en-US"/>
        </w:rPr>
        <w:t>standard statistical methods based</w:t>
      </w:r>
      <w:r w:rsidR="00CD3B6E" w:rsidRPr="00AE317D">
        <w:rPr>
          <w:rFonts w:cs="CMSS12"/>
          <w:lang w:eastAsia="en-US"/>
        </w:rPr>
        <w:t xml:space="preserve"> </w:t>
      </w:r>
      <w:r w:rsidRPr="00AE317D">
        <w:rPr>
          <w:rFonts w:cs="CMSS12"/>
          <w:lang w:eastAsia="en-US"/>
        </w:rPr>
        <w:t>on large-</w:t>
      </w:r>
      <w:r w:rsidR="00CD3B6E" w:rsidRPr="00AE317D">
        <w:rPr>
          <w:rFonts w:cs="CMSS12"/>
          <w:lang w:eastAsia="en-US"/>
        </w:rPr>
        <w:t>sample theor</w:t>
      </w:r>
      <w:r w:rsidR="00463086">
        <w:rPr>
          <w:rFonts w:cs="CMSS12"/>
          <w:lang w:eastAsia="en-US"/>
        </w:rPr>
        <w:t>y</w:t>
      </w:r>
      <w:r w:rsidR="000E68E4" w:rsidRPr="00AE317D">
        <w:rPr>
          <w:rFonts w:cs="CMSS12"/>
          <w:lang w:eastAsia="en-US"/>
        </w:rPr>
        <w:t xml:space="preserve"> do not necessarily apply, thus making the results and</w:t>
      </w:r>
      <w:r w:rsidR="00CD3B6E" w:rsidRPr="00AE317D">
        <w:rPr>
          <w:rFonts w:cs="CMSS12"/>
          <w:lang w:eastAsia="en-US"/>
        </w:rPr>
        <w:t xml:space="preserve"> </w:t>
      </w:r>
      <w:r w:rsidR="000E68E4" w:rsidRPr="00AE317D">
        <w:rPr>
          <w:rFonts w:cs="CMSS12"/>
          <w:lang w:eastAsia="en-US"/>
        </w:rPr>
        <w:t>conclusions</w:t>
      </w:r>
      <w:r w:rsidRPr="00AE317D">
        <w:rPr>
          <w:rFonts w:cs="CMSS12"/>
          <w:lang w:eastAsia="en-US"/>
        </w:rPr>
        <w:t xml:space="preserve"> of the analysis less reliable. </w:t>
      </w:r>
      <w:r w:rsidR="00EF0A34">
        <w:rPr>
          <w:rFonts w:cs="CMSS12"/>
          <w:lang w:eastAsia="en-US"/>
        </w:rPr>
        <w:t xml:space="preserve"> </w:t>
      </w:r>
      <w:r w:rsidR="00CD3B6E" w:rsidRPr="00AE317D">
        <w:rPr>
          <w:rFonts w:cs="CMSS12"/>
          <w:lang w:eastAsia="en-US"/>
        </w:rPr>
        <w:t xml:space="preserve">Also, modern trials </w:t>
      </w:r>
      <w:r w:rsidR="00884342" w:rsidRPr="00884342">
        <w:rPr>
          <w:rFonts w:cs="CMSS12"/>
          <w:lang w:eastAsia="en-US"/>
        </w:rPr>
        <w:t xml:space="preserve">often </w:t>
      </w:r>
      <w:r w:rsidR="00CD3B6E" w:rsidRPr="00AE317D">
        <w:rPr>
          <w:rFonts w:cs="CMSS12"/>
          <w:lang w:eastAsia="en-US"/>
        </w:rPr>
        <w:t xml:space="preserve">involve several subgroups, such as gene-mutation subgroups, with subgroup sample sizes even smaller. </w:t>
      </w:r>
      <w:r w:rsidR="00884342">
        <w:rPr>
          <w:rFonts w:cs="CMSS12"/>
          <w:lang w:eastAsia="en-US"/>
        </w:rPr>
        <w:t xml:space="preserve"> </w:t>
      </w:r>
      <w:r w:rsidR="00CD3B6E" w:rsidRPr="00AE317D">
        <w:rPr>
          <w:rFonts w:cs="CMSS12"/>
          <w:lang w:eastAsia="en-US"/>
        </w:rPr>
        <w:t xml:space="preserve">In </w:t>
      </w:r>
      <w:r w:rsidR="00463086">
        <w:rPr>
          <w:rFonts w:cs="CMSS12"/>
          <w:lang w:eastAsia="en-US"/>
        </w:rPr>
        <w:t xml:space="preserve">such </w:t>
      </w:r>
      <w:r w:rsidR="00CD3B6E" w:rsidRPr="00AE317D">
        <w:rPr>
          <w:rFonts w:cs="CMSS12"/>
          <w:lang w:eastAsia="en-US"/>
        </w:rPr>
        <w:t xml:space="preserve">situations, </w:t>
      </w:r>
      <w:r w:rsidR="000E68E4" w:rsidRPr="00AE317D">
        <w:rPr>
          <w:rFonts w:cs="CMSS12"/>
          <w:lang w:eastAsia="en-US"/>
        </w:rPr>
        <w:t xml:space="preserve">Bayesian </w:t>
      </w:r>
      <w:r w:rsidR="00884342">
        <w:rPr>
          <w:rFonts w:cs="CMSS12"/>
          <w:lang w:eastAsia="en-US"/>
        </w:rPr>
        <w:t xml:space="preserve">analysis </w:t>
      </w:r>
      <w:r w:rsidR="000E68E4" w:rsidRPr="00AE317D">
        <w:rPr>
          <w:rFonts w:cs="CMSS12"/>
          <w:lang w:eastAsia="en-US"/>
        </w:rPr>
        <w:t xml:space="preserve">methods </w:t>
      </w:r>
      <w:r w:rsidR="00463086">
        <w:rPr>
          <w:rFonts w:cs="CMSS12"/>
          <w:lang w:eastAsia="en-US"/>
        </w:rPr>
        <w:t>may be</w:t>
      </w:r>
      <w:r w:rsidR="00CD3B6E" w:rsidRPr="00AE317D">
        <w:rPr>
          <w:rFonts w:cs="CMSS12"/>
          <w:lang w:eastAsia="en-US"/>
        </w:rPr>
        <w:t xml:space="preserve"> appropriate as they allow</w:t>
      </w:r>
      <w:r w:rsidR="000E68E4" w:rsidRPr="00AE317D">
        <w:rPr>
          <w:rFonts w:cs="CMSS12"/>
          <w:lang w:eastAsia="en-US"/>
        </w:rPr>
        <w:t xml:space="preserve"> </w:t>
      </w:r>
      <w:r w:rsidR="00CD3B6E" w:rsidRPr="00AE317D">
        <w:rPr>
          <w:rFonts w:cs="CMSS12"/>
          <w:lang w:eastAsia="en-US"/>
        </w:rPr>
        <w:t xml:space="preserve">borrowing </w:t>
      </w:r>
      <w:r w:rsidR="000E68E4" w:rsidRPr="00AE317D">
        <w:rPr>
          <w:rFonts w:cs="CMSS12"/>
          <w:lang w:eastAsia="en-US"/>
        </w:rPr>
        <w:t>information</w:t>
      </w:r>
      <w:r w:rsidRPr="00AE317D">
        <w:rPr>
          <w:rFonts w:cs="CMSS12"/>
          <w:lang w:eastAsia="en-US"/>
        </w:rPr>
        <w:t xml:space="preserve"> </w:t>
      </w:r>
      <w:r w:rsidR="00CD3B6E" w:rsidRPr="00AE317D">
        <w:rPr>
          <w:rFonts w:cs="CMSS12"/>
          <w:lang w:eastAsia="en-US"/>
        </w:rPr>
        <w:t>from homogeneous subgroups while</w:t>
      </w:r>
      <w:r w:rsidR="000E68E4" w:rsidRPr="00AE317D">
        <w:rPr>
          <w:rFonts w:cs="CMSS12"/>
          <w:lang w:eastAsia="en-US"/>
        </w:rPr>
        <w:t xml:space="preserve"> discounting information from </w:t>
      </w:r>
      <w:r w:rsidRPr="00AE317D">
        <w:rPr>
          <w:rFonts w:cs="CMSS12"/>
          <w:lang w:eastAsia="en-US"/>
        </w:rPr>
        <w:t xml:space="preserve">heterogeneous </w:t>
      </w:r>
      <w:r w:rsidR="000E68E4" w:rsidRPr="00AE317D">
        <w:rPr>
          <w:rFonts w:cs="CMSS12"/>
          <w:lang w:eastAsia="en-US"/>
        </w:rPr>
        <w:t>subgroups, regar</w:t>
      </w:r>
      <w:r w:rsidR="00CD3B6E" w:rsidRPr="00AE317D">
        <w:rPr>
          <w:rFonts w:cs="CMSS12"/>
          <w:lang w:eastAsia="en-US"/>
        </w:rPr>
        <w:t xml:space="preserve">dless of subgroup sample sizes. </w:t>
      </w:r>
      <w:r w:rsidR="00463086">
        <w:rPr>
          <w:rFonts w:cs="CMSS12"/>
          <w:lang w:eastAsia="en-US"/>
        </w:rPr>
        <w:t xml:space="preserve"> </w:t>
      </w:r>
      <w:r w:rsidR="00CD3B6E" w:rsidRPr="00AE317D">
        <w:rPr>
          <w:rFonts w:cs="CMSS12"/>
          <w:lang w:eastAsia="en-US"/>
        </w:rPr>
        <w:t>In addition, when historical information</w:t>
      </w:r>
      <w:r w:rsidR="00463086">
        <w:rPr>
          <w:rFonts w:cs="CMSS12"/>
          <w:lang w:eastAsia="en-US"/>
        </w:rPr>
        <w:t xml:space="preserve"> is</w:t>
      </w:r>
      <w:r w:rsidR="00CD3B6E" w:rsidRPr="00AE317D">
        <w:rPr>
          <w:rFonts w:cs="CMSS12"/>
          <w:lang w:eastAsia="en-US"/>
        </w:rPr>
        <w:t xml:space="preserve"> available; for example, through</w:t>
      </w:r>
      <w:r w:rsidR="000F7070" w:rsidRPr="00AE317D">
        <w:rPr>
          <w:rFonts w:cs="CMSS12"/>
          <w:lang w:eastAsia="en-US"/>
        </w:rPr>
        <w:t xml:space="preserve"> historical controls, early phase trials, or some observational studies, </w:t>
      </w:r>
      <w:r w:rsidR="000E68E4" w:rsidRPr="00AE317D">
        <w:rPr>
          <w:rFonts w:cs="CMSS12"/>
          <w:lang w:eastAsia="en-US"/>
        </w:rPr>
        <w:t xml:space="preserve">Bayesian </w:t>
      </w:r>
      <w:r w:rsidR="000E68E4" w:rsidRPr="00AE317D">
        <w:rPr>
          <w:rFonts w:cs="CMSS12"/>
          <w:lang w:eastAsia="en-US"/>
        </w:rPr>
        <w:lastRenderedPageBreak/>
        <w:t>methods</w:t>
      </w:r>
      <w:r w:rsidRPr="00AE317D">
        <w:rPr>
          <w:rFonts w:cs="CMSS12"/>
          <w:lang w:eastAsia="en-US"/>
        </w:rPr>
        <w:t xml:space="preserve"> </w:t>
      </w:r>
      <w:r w:rsidR="00EA489B" w:rsidRPr="00AE317D">
        <w:rPr>
          <w:rFonts w:cs="CMSS12"/>
          <w:lang w:eastAsia="en-US"/>
        </w:rPr>
        <w:t>naturally le</w:t>
      </w:r>
      <w:r w:rsidR="00463086">
        <w:rPr>
          <w:rFonts w:cs="CMSS12"/>
          <w:lang w:eastAsia="en-US"/>
        </w:rPr>
        <w:t xml:space="preserve">ad </w:t>
      </w:r>
      <w:r w:rsidR="00EA489B" w:rsidRPr="00AE317D">
        <w:rPr>
          <w:rFonts w:cs="CMSS12"/>
          <w:lang w:eastAsia="en-US"/>
        </w:rPr>
        <w:t>to</w:t>
      </w:r>
      <w:r w:rsidR="00463086">
        <w:rPr>
          <w:rFonts w:cs="CMSS12"/>
          <w:lang w:eastAsia="en-US"/>
        </w:rPr>
        <w:t xml:space="preserve"> the</w:t>
      </w:r>
      <w:r w:rsidR="009A1438" w:rsidRPr="00AE317D">
        <w:rPr>
          <w:rFonts w:cs="CMSS12"/>
          <w:lang w:eastAsia="en-US"/>
        </w:rPr>
        <w:t xml:space="preserve"> incorporat</w:t>
      </w:r>
      <w:r w:rsidR="00463086">
        <w:rPr>
          <w:rFonts w:cs="CMSS12"/>
          <w:lang w:eastAsia="en-US"/>
        </w:rPr>
        <w:t>ion</w:t>
      </w:r>
      <w:r w:rsidR="009A1438" w:rsidRPr="00AE317D">
        <w:rPr>
          <w:rFonts w:cs="CMSS12"/>
          <w:lang w:eastAsia="en-US"/>
        </w:rPr>
        <w:t xml:space="preserve"> </w:t>
      </w:r>
      <w:r w:rsidR="00EF0A34">
        <w:rPr>
          <w:rFonts w:cs="CMSS12"/>
          <w:lang w:eastAsia="en-US"/>
        </w:rPr>
        <w:t xml:space="preserve">of </w:t>
      </w:r>
      <w:r w:rsidR="009A1438" w:rsidRPr="00AE317D">
        <w:rPr>
          <w:rFonts w:cs="CMSS12"/>
          <w:lang w:eastAsia="en-US"/>
        </w:rPr>
        <w:t>the historical</w:t>
      </w:r>
      <w:r w:rsidR="00233463">
        <w:rPr>
          <w:rFonts w:cs="CMSS12"/>
          <w:lang w:eastAsia="en-US"/>
        </w:rPr>
        <w:t xml:space="preserve"> information through the</w:t>
      </w:r>
      <w:r w:rsidR="00463086">
        <w:rPr>
          <w:rFonts w:cs="CMSS12"/>
          <w:lang w:eastAsia="en-US"/>
        </w:rPr>
        <w:t xml:space="preserve"> application of</w:t>
      </w:r>
      <w:r w:rsidR="00233463">
        <w:rPr>
          <w:rFonts w:cs="CMSS12"/>
          <w:lang w:eastAsia="en-US"/>
        </w:rPr>
        <w:t xml:space="preserve"> Bayes T</w:t>
      </w:r>
      <w:r w:rsidR="009A1438" w:rsidRPr="00AE317D">
        <w:rPr>
          <w:rFonts w:cs="CMSS12"/>
          <w:lang w:eastAsia="en-US"/>
        </w:rPr>
        <w:t xml:space="preserve">heorem in a way that </w:t>
      </w:r>
      <w:r w:rsidR="00463086">
        <w:rPr>
          <w:rFonts w:cs="CMSS12"/>
          <w:lang w:eastAsia="en-US"/>
        </w:rPr>
        <w:t xml:space="preserve">allows for </w:t>
      </w:r>
      <w:r w:rsidR="009A1438" w:rsidRPr="00AE317D">
        <w:rPr>
          <w:rFonts w:cs="CMSS12"/>
          <w:lang w:eastAsia="en-US"/>
        </w:rPr>
        <w:t>some of the historical data that are obsolete</w:t>
      </w:r>
      <w:r w:rsidR="006E5195" w:rsidRPr="00AE317D">
        <w:rPr>
          <w:rFonts w:cs="CMSS12"/>
          <w:lang w:eastAsia="en-US"/>
        </w:rPr>
        <w:t xml:space="preserve"> or less useful</w:t>
      </w:r>
      <w:r w:rsidR="00463086">
        <w:rPr>
          <w:rFonts w:cs="CMSS12"/>
          <w:lang w:eastAsia="en-US"/>
        </w:rPr>
        <w:t xml:space="preserve"> to be discounted</w:t>
      </w:r>
      <w:r w:rsidR="006E5195" w:rsidRPr="00AE317D">
        <w:rPr>
          <w:rFonts w:cs="CMSS12"/>
          <w:lang w:eastAsia="en-US"/>
        </w:rPr>
        <w:t xml:space="preserve">. </w:t>
      </w:r>
    </w:p>
    <w:p w:rsidR="00A85A68" w:rsidRPr="00AE317D" w:rsidRDefault="00A85A68" w:rsidP="00426CEB">
      <w:pPr>
        <w:autoSpaceDE w:val="0"/>
        <w:autoSpaceDN w:val="0"/>
        <w:adjustRightInd w:val="0"/>
        <w:rPr>
          <w:rFonts w:cs="CMSS12"/>
          <w:lang w:eastAsia="en-US"/>
        </w:rPr>
      </w:pPr>
      <w:r w:rsidRPr="00683AA0">
        <w:rPr>
          <w:u w:val="single"/>
        </w:rPr>
        <w:t>Example</w:t>
      </w:r>
    </w:p>
    <w:p w:rsidR="006910C7" w:rsidRDefault="00563565" w:rsidP="00A85A68">
      <w:r w:rsidRPr="00AE317D">
        <w:rPr>
          <w:rFonts w:cs="CMSS12"/>
          <w:lang w:eastAsia="en-US"/>
        </w:rPr>
        <w:t>C</w:t>
      </w:r>
      <w:r w:rsidR="006910C7" w:rsidRPr="00AE317D">
        <w:t xml:space="preserve">onsider patients randomized to control arm (C) and to the </w:t>
      </w:r>
      <w:r w:rsidR="007F3F03">
        <w:t>i</w:t>
      </w:r>
      <w:r w:rsidR="006910C7" w:rsidRPr="00AE317D">
        <w:t xml:space="preserve">nvestigational </w:t>
      </w:r>
      <w:r w:rsidR="007F3F03">
        <w:t>d</w:t>
      </w:r>
      <w:r w:rsidR="006910C7" w:rsidRPr="00AE317D">
        <w:t>rug arm (E), with</w:t>
      </w:r>
      <w:r w:rsidR="006910C7">
        <w:t xml:space="preserve"> the primary endpoint as mortality. </w:t>
      </w:r>
      <w:r w:rsidR="00233463">
        <w:t xml:space="preserve"> </w:t>
      </w:r>
      <w:r w:rsidR="006910C7">
        <w:t xml:space="preserve">Let </w:t>
      </w:r>
    </w:p>
    <w:p w:rsidR="006910C7" w:rsidRDefault="006910C7" w:rsidP="00A85A68">
      <w:pPr>
        <w:pStyle w:val="MTDisplayEquation"/>
      </w:pPr>
      <w:r>
        <w:tab/>
      </w:r>
      <w:r>
        <w:rPr>
          <w:rFonts w:eastAsia="Calibri"/>
          <w:position w:val="-12"/>
        </w:rPr>
        <w:object w:dxaOrig="19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8pt" o:ole="">
            <v:imagedata r:id="rId9" o:title=""/>
          </v:shape>
          <o:OLEObject Type="Embed" ProgID="Equation.DSMT4" ShapeID="_x0000_i1025" DrawAspect="Content" ObjectID="_1523723614" r:id="rId10"/>
        </w:object>
      </w:r>
      <w:r>
        <w:t xml:space="preserve"> </w:t>
      </w:r>
    </w:p>
    <w:p w:rsidR="006910C7" w:rsidRDefault="006910C7" w:rsidP="00563565">
      <w:r>
        <w:t xml:space="preserve">with </w:t>
      </w:r>
    </w:p>
    <w:p w:rsidR="006910C7" w:rsidRDefault="006910C7" w:rsidP="00563565">
      <w:pPr>
        <w:pStyle w:val="MTDisplayEquation"/>
      </w:pPr>
      <w:r>
        <w:tab/>
      </w:r>
      <w:r w:rsidR="0077426B">
        <w:rPr>
          <w:rFonts w:eastAsia="Calibri"/>
          <w:position w:val="-12"/>
        </w:rPr>
        <w:object w:dxaOrig="3240" w:dyaOrig="360">
          <v:shape id="_x0000_i1026" type="#_x0000_t75" style="width:162pt;height:18pt" o:ole="">
            <v:imagedata r:id="rId11" o:title=""/>
          </v:shape>
          <o:OLEObject Type="Embed" ProgID="Equation.DSMT4" ShapeID="_x0000_i1026" DrawAspect="Content" ObjectID="_1523723615" r:id="rId12"/>
        </w:object>
      </w:r>
      <w:r>
        <w:t xml:space="preserve"> </w:t>
      </w:r>
    </w:p>
    <w:p w:rsidR="006910C7" w:rsidRDefault="006910C7" w:rsidP="00563565">
      <w:r>
        <w:t xml:space="preserve">where </w:t>
      </w:r>
      <w:r>
        <w:rPr>
          <w:rFonts w:eastAsia="Calibri"/>
          <w:position w:val="-6"/>
        </w:rPr>
        <w:object w:dxaOrig="660" w:dyaOrig="276">
          <v:shape id="_x0000_i1027" type="#_x0000_t75" style="width:33pt;height:14.25pt" o:ole="">
            <v:imagedata r:id="rId13" o:title=""/>
          </v:shape>
          <o:OLEObject Type="Embed" ProgID="Equation.DSMT4" ShapeID="_x0000_i1027" DrawAspect="Content" ObjectID="_1523723616" r:id="rId14"/>
        </w:object>
      </w:r>
      <w:r>
        <w:t xml:space="preserve">or 1 depending on whether the patients were assigned to the control arm or to the experimental arm. </w:t>
      </w:r>
      <w:r w:rsidR="00233463">
        <w:t xml:space="preserve"> </w:t>
      </w:r>
      <w:r>
        <w:t xml:space="preserve">Let </w:t>
      </w:r>
      <w:r>
        <w:rPr>
          <w:rFonts w:eastAsia="Calibri"/>
          <w:position w:val="-16"/>
        </w:rPr>
        <w:object w:dxaOrig="1224" w:dyaOrig="420">
          <v:shape id="_x0000_i1028" type="#_x0000_t75" style="width:60.75pt;height:21pt" o:ole="">
            <v:imagedata r:id="rId15" o:title=""/>
          </v:shape>
          <o:OLEObject Type="Embed" ProgID="Equation.DSMT4" ShapeID="_x0000_i1028" DrawAspect="Content" ObjectID="_1523723617" r:id="rId16"/>
        </w:object>
      </w:r>
      <w:r>
        <w:t xml:space="preserve"> and assume that </w:t>
      </w:r>
      <w:r>
        <w:rPr>
          <w:rFonts w:eastAsia="Calibri"/>
          <w:position w:val="-16"/>
        </w:rPr>
        <w:object w:dxaOrig="240" w:dyaOrig="384">
          <v:shape id="_x0000_i1029" type="#_x0000_t75" style="width:12pt;height:18.75pt" o:ole="">
            <v:imagedata r:id="rId17" o:title=""/>
          </v:shape>
          <o:OLEObject Type="Embed" ProgID="Equation.DSMT4" ShapeID="_x0000_i1029" DrawAspect="Content" ObjectID="_1523723618" r:id="rId18"/>
        </w:object>
      </w:r>
      <w:r>
        <w:t xml:space="preserve"> follows a non</w:t>
      </w:r>
      <w:r w:rsidR="00563565">
        <w:t>-</w:t>
      </w:r>
      <w:r>
        <w:t xml:space="preserve">informative prior (which may be considered as a bivariate normal with diffuse covariance-matrix), </w:t>
      </w:r>
      <w:r>
        <w:rPr>
          <w:rFonts w:eastAsia="Calibri"/>
          <w:position w:val="-16"/>
        </w:rPr>
        <w:object w:dxaOrig="564" w:dyaOrig="384">
          <v:shape id="_x0000_i1030" type="#_x0000_t75" style="width:27.75pt;height:18.75pt" o:ole="">
            <v:imagedata r:id="rId19" o:title=""/>
          </v:shape>
          <o:OLEObject Type="Embed" ProgID="Equation.DSMT4" ShapeID="_x0000_i1030" DrawAspect="Content" ObjectID="_1523723619" r:id="rId20"/>
        </w:object>
      </w:r>
      <w:r>
        <w:t>. Using the likelihood function</w:t>
      </w:r>
    </w:p>
    <w:p w:rsidR="006910C7" w:rsidRDefault="006910C7" w:rsidP="00563565">
      <w:pPr>
        <w:pStyle w:val="MTDisplayEquation"/>
      </w:pPr>
      <w:r>
        <w:tab/>
      </w:r>
      <w:r>
        <w:rPr>
          <w:rFonts w:eastAsia="Calibri"/>
          <w:position w:val="-28"/>
        </w:rPr>
        <w:object w:dxaOrig="5600" w:dyaOrig="540">
          <v:shape id="_x0000_i1031" type="#_x0000_t75" style="width:279.75pt;height:27pt" o:ole="">
            <v:imagedata r:id="rId21" o:title=""/>
          </v:shape>
          <o:OLEObject Type="Embed" ProgID="Equation.DSMT4" ShapeID="_x0000_i1031" DrawAspect="Content" ObjectID="_1523723620" r:id="rId22"/>
        </w:object>
      </w:r>
      <w:r>
        <w:t xml:space="preserve"> </w:t>
      </w:r>
    </w:p>
    <w:p w:rsidR="006910C7" w:rsidRDefault="006910C7" w:rsidP="00CD2183">
      <w:r>
        <w:t xml:space="preserve">and the Bayes Theorem, the posterior distribution of </w:t>
      </w:r>
      <w:r>
        <w:rPr>
          <w:rFonts w:eastAsia="Calibri"/>
          <w:position w:val="-16"/>
        </w:rPr>
        <w:object w:dxaOrig="240" w:dyaOrig="384">
          <v:shape id="_x0000_i1032" type="#_x0000_t75" style="width:12pt;height:18.75pt" o:ole="">
            <v:imagedata r:id="rId17" o:title=""/>
          </v:shape>
          <o:OLEObject Type="Embed" ProgID="Equation.DSMT4" ShapeID="_x0000_i1032" DrawAspect="Content" ObjectID="_1523723621" r:id="rId23"/>
        </w:object>
      </w:r>
      <w:r>
        <w:t>, is given by</w:t>
      </w:r>
    </w:p>
    <w:p w:rsidR="006910C7" w:rsidRDefault="006910C7" w:rsidP="003E670E">
      <w:pPr>
        <w:pStyle w:val="MTDisplayEquation"/>
      </w:pPr>
      <w:r>
        <w:tab/>
      </w:r>
      <w:r>
        <w:rPr>
          <w:rFonts w:eastAsia="Calibri"/>
          <w:position w:val="-16"/>
        </w:rPr>
        <w:object w:dxaOrig="3420" w:dyaOrig="420">
          <v:shape id="_x0000_i1033" type="#_x0000_t75" style="width:171pt;height:21pt" o:ole="">
            <v:imagedata r:id="rId24" o:title=""/>
          </v:shape>
          <o:OLEObject Type="Embed" ProgID="Equation.DSMT4" ShapeID="_x0000_i1033" DrawAspect="Content" ObjectID="_1523723622" r:id="rId25"/>
        </w:object>
      </w:r>
      <w:r>
        <w:t xml:space="preserve"> </w:t>
      </w:r>
    </w:p>
    <w:p w:rsidR="006910C7" w:rsidRDefault="006910C7" w:rsidP="00426CEB">
      <w:r>
        <w:t xml:space="preserve">where </w:t>
      </w:r>
      <w:r w:rsidRPr="00426CEB">
        <w:rPr>
          <w:rFonts w:eastAsia="Calibri"/>
          <w:position w:val="-4"/>
        </w:rPr>
        <w:object w:dxaOrig="260" w:dyaOrig="240">
          <v:shape id="_x0000_i1034" type="#_x0000_t75" style="width:12.75pt;height:12pt" o:ole="">
            <v:imagedata r:id="rId26" o:title=""/>
          </v:shape>
          <o:OLEObject Type="Embed" ProgID="Equation.DSMT4" ShapeID="_x0000_i1034" DrawAspect="Content" ObjectID="_1523723623" r:id="rId27"/>
        </w:object>
      </w:r>
      <w:r>
        <w:t xml:space="preserve"> denotes the data (from both the arms). </w:t>
      </w:r>
      <w:r w:rsidR="00233463">
        <w:t xml:space="preserve"> </w:t>
      </w:r>
      <w:r>
        <w:t xml:space="preserve">If the historical data, say </w:t>
      </w:r>
      <w:r w:rsidR="00FD4279" w:rsidRPr="00426CEB">
        <w:rPr>
          <w:position w:val="-8"/>
        </w:rPr>
        <w:object w:dxaOrig="2420" w:dyaOrig="340">
          <v:shape id="_x0000_i1035" type="#_x0000_t75" style="width:120.75pt;height:17.25pt" o:ole="">
            <v:imagedata r:id="rId28" o:title=""/>
          </v:shape>
          <o:OLEObject Type="Embed" ProgID="Equation.DSMT4" ShapeID="_x0000_i1035" DrawAspect="Content" ObjectID="_1523723624" r:id="rId29"/>
        </w:object>
      </w:r>
      <w:r w:rsidR="0032504F">
        <w:t>,</w:t>
      </w:r>
      <w:r>
        <w:t xml:space="preserve"> </w:t>
      </w:r>
    </w:p>
    <w:p w:rsidR="00371C1C" w:rsidRDefault="0032504F" w:rsidP="00426CEB">
      <w:r>
        <w:t xml:space="preserve">are </w:t>
      </w:r>
      <w:r w:rsidR="006910C7">
        <w:t xml:space="preserve">available with </w:t>
      </w:r>
      <w:r w:rsidR="00FD4279" w:rsidRPr="00426CEB">
        <w:rPr>
          <w:position w:val="-4"/>
        </w:rPr>
        <w:object w:dxaOrig="340" w:dyaOrig="300">
          <v:shape id="_x0000_i1036" type="#_x0000_t75" style="width:17.25pt;height:15pt" o:ole="">
            <v:imagedata r:id="rId30" o:title=""/>
          </v:shape>
          <o:OLEObject Type="Embed" ProgID="Equation.DSMT4" ShapeID="_x0000_i1036" DrawAspect="Content" ObjectID="_1523723625" r:id="rId31"/>
        </w:object>
      </w:r>
      <w:r w:rsidR="006910C7">
        <w:t xml:space="preserve"> being most recent and informative than </w:t>
      </w:r>
      <w:r w:rsidR="00FD4279" w:rsidRPr="00426CEB">
        <w:rPr>
          <w:position w:val="-4"/>
        </w:rPr>
        <w:object w:dxaOrig="360" w:dyaOrig="300">
          <v:shape id="_x0000_i1037" type="#_x0000_t75" style="width:18pt;height:15pt" o:ole="">
            <v:imagedata r:id="rId32" o:title=""/>
          </v:shape>
          <o:OLEObject Type="Embed" ProgID="Equation.DSMT4" ShapeID="_x0000_i1037" DrawAspect="Content" ObjectID="_1523723626" r:id="rId33"/>
        </w:object>
      </w:r>
      <w:r w:rsidR="006910C7">
        <w:t xml:space="preserve">and so on, with </w:t>
      </w:r>
      <w:r w:rsidR="00FD4279" w:rsidRPr="00426CEB">
        <w:rPr>
          <w:position w:val="-4"/>
        </w:rPr>
        <w:object w:dxaOrig="380" w:dyaOrig="300">
          <v:shape id="_x0000_i1038" type="#_x0000_t75" style="width:18.75pt;height:15pt" o:ole="">
            <v:imagedata r:id="rId34" o:title=""/>
          </v:shape>
          <o:OLEObject Type="Embed" ProgID="Equation.DSMT4" ShapeID="_x0000_i1038" DrawAspect="Content" ObjectID="_1523723627" r:id="rId35"/>
        </w:object>
      </w:r>
      <w:r w:rsidR="006910C7">
        <w:t>being the least informative, a power prior (Ibrahim and Chen, 2000</w:t>
      </w:r>
      <w:r w:rsidR="00D20B9E">
        <w:rPr>
          <w:rStyle w:val="EndnoteReference"/>
        </w:rPr>
        <w:endnoteReference w:id="9"/>
      </w:r>
      <w:r w:rsidR="006910C7">
        <w:t xml:space="preserve">) </w:t>
      </w:r>
      <w:r w:rsidR="00371C1C">
        <w:t xml:space="preserve">approach </w:t>
      </w:r>
      <w:r w:rsidR="006910C7">
        <w:t>can be used</w:t>
      </w:r>
      <w:r w:rsidR="00371C1C">
        <w:t xml:space="preserve"> to incorporate the historical data in the likelihood, and the posterior can be obtained using:</w:t>
      </w:r>
    </w:p>
    <w:p w:rsidR="00371C1C" w:rsidRDefault="00FD4279" w:rsidP="00426CEB">
      <w:pPr>
        <w:jc w:val="center"/>
        <w:rPr>
          <w:rFonts w:eastAsia="Calibri"/>
        </w:rPr>
      </w:pPr>
      <w:r w:rsidRPr="00A776F3">
        <w:rPr>
          <w:rFonts w:eastAsia="Calibri"/>
          <w:position w:val="-28"/>
        </w:rPr>
        <w:object w:dxaOrig="6440" w:dyaOrig="680">
          <v:shape id="_x0000_i1039" type="#_x0000_t75" style="width:321.75pt;height:33.75pt" o:ole="">
            <v:imagedata r:id="rId36" o:title=""/>
          </v:shape>
          <o:OLEObject Type="Embed" ProgID="Equation.DSMT4" ShapeID="_x0000_i1039" DrawAspect="Content" ObjectID="_1523723628" r:id="rId37"/>
        </w:object>
      </w:r>
    </w:p>
    <w:p w:rsidR="00371C1C" w:rsidRDefault="00371C1C" w:rsidP="00563565">
      <w:r>
        <w:rPr>
          <w:rFonts w:eastAsia="Calibri"/>
        </w:rPr>
        <w:t xml:space="preserve">where </w:t>
      </w:r>
      <w:r w:rsidRPr="00F1569C">
        <w:rPr>
          <w:position w:val="-12"/>
        </w:rPr>
        <w:object w:dxaOrig="1180" w:dyaOrig="360">
          <v:shape id="_x0000_i1040" type="#_x0000_t75" style="width:59.25pt;height:18pt" o:ole="">
            <v:imagedata r:id="rId38" o:title=""/>
          </v:shape>
          <o:OLEObject Type="Embed" ProgID="Equation.DSMT4" ShapeID="_x0000_i1040" DrawAspect="Content" ObjectID="_1523723629" r:id="rId39"/>
        </w:object>
      </w:r>
      <w:r>
        <w:t xml:space="preserve"> is the prior for </w:t>
      </w:r>
      <w:r w:rsidRPr="00F1569C">
        <w:rPr>
          <w:position w:val="-12"/>
        </w:rPr>
        <w:object w:dxaOrig="1020" w:dyaOrig="360">
          <v:shape id="_x0000_i1041" type="#_x0000_t75" style="width:51pt;height:18pt" o:ole="">
            <v:imagedata r:id="rId40" o:title=""/>
          </v:shape>
          <o:OLEObject Type="Embed" ProgID="Equation.DSMT4" ShapeID="_x0000_i1041" DrawAspect="Content" ObjectID="_1523723630" r:id="rId41"/>
        </w:object>
      </w:r>
      <w:r>
        <w:t xml:space="preserve"> with support on </w:t>
      </w:r>
      <w:r w:rsidR="00A776F3" w:rsidRPr="00F1569C">
        <w:rPr>
          <w:position w:val="-12"/>
        </w:rPr>
        <w:object w:dxaOrig="1920" w:dyaOrig="360">
          <v:shape id="_x0000_i1042" type="#_x0000_t75" style="width:96pt;height:18pt" o:ole="">
            <v:imagedata r:id="rId42" o:title=""/>
          </v:shape>
          <o:OLEObject Type="Embed" ProgID="Equation.DSMT4" ShapeID="_x0000_i1042" DrawAspect="Content" ObjectID="_1523723631" r:id="rId43"/>
        </w:object>
      </w:r>
      <w:r w:rsidR="00A776F3">
        <w:t xml:space="preserve"> so that </w:t>
      </w:r>
      <w:r w:rsidR="00806B1F">
        <w:t xml:space="preserve">most </w:t>
      </w:r>
      <w:r w:rsidR="00A776F3">
        <w:t xml:space="preserve">recent historical data get higher </w:t>
      </w:r>
      <w:r w:rsidR="0094719E">
        <w:t>weight than the older studies (</w:t>
      </w:r>
      <w:r w:rsidR="00A776F3">
        <w:t>See</w:t>
      </w:r>
      <w:r w:rsidR="00FD4279">
        <w:t xml:space="preserve"> Gamalo et al</w:t>
      </w:r>
      <w:r w:rsidR="00806B1F">
        <w:t>.</w:t>
      </w:r>
      <w:r w:rsidR="00FD4279">
        <w:t xml:space="preserve"> (2014</w:t>
      </w:r>
      <w:r w:rsidR="00A776F3">
        <w:t>) for such a prior</w:t>
      </w:r>
      <w:r w:rsidR="00D20B9E">
        <w:rPr>
          <w:rStyle w:val="EndnoteReference"/>
        </w:rPr>
        <w:endnoteReference w:id="10"/>
      </w:r>
      <w:r w:rsidR="00A776F3">
        <w:t>).</w:t>
      </w:r>
    </w:p>
    <w:p w:rsidR="006910C7" w:rsidRDefault="006910C7" w:rsidP="00CD2183">
      <w:r>
        <w:t xml:space="preserve">Using a Markov chain Monte Carlo (MCMC) technique the (conditional) posteriors of </w:t>
      </w:r>
      <w:r>
        <w:rPr>
          <w:rFonts w:eastAsia="Calibri"/>
          <w:position w:val="-12"/>
        </w:rPr>
        <w:object w:dxaOrig="300" w:dyaOrig="360">
          <v:shape id="_x0000_i1043" type="#_x0000_t75" style="width:15pt;height:18pt" o:ole="">
            <v:imagedata r:id="rId44" o:title=""/>
          </v:shape>
          <o:OLEObject Type="Embed" ProgID="Equation.DSMT4" ShapeID="_x0000_i1043" DrawAspect="Content" ObjectID="_1523723632" r:id="rId45"/>
        </w:object>
      </w:r>
      <w:r>
        <w:t xml:space="preserve"> and </w:t>
      </w:r>
      <w:r>
        <w:rPr>
          <w:rFonts w:eastAsia="Calibri"/>
          <w:position w:val="-12"/>
        </w:rPr>
        <w:object w:dxaOrig="264" w:dyaOrig="360">
          <v:shape id="_x0000_i1044" type="#_x0000_t75" style="width:12.75pt;height:18pt" o:ole="">
            <v:imagedata r:id="rId46" o:title=""/>
          </v:shape>
          <o:OLEObject Type="Embed" ProgID="Equation.DSMT4" ShapeID="_x0000_i1044" DrawAspect="Content" ObjectID="_1523723633" r:id="rId47"/>
        </w:object>
      </w:r>
      <w:r>
        <w:t xml:space="preserve">, given the data, </w:t>
      </w:r>
      <w:r w:rsidR="00A776F3" w:rsidRPr="00A776F3">
        <w:rPr>
          <w:rFonts w:eastAsia="Calibri"/>
          <w:position w:val="-10"/>
        </w:rPr>
        <w:object w:dxaOrig="740" w:dyaOrig="320">
          <v:shape id="_x0000_i1045" type="#_x0000_t75" style="width:36.75pt;height:15.75pt" o:ole="">
            <v:imagedata r:id="rId48" o:title=""/>
          </v:shape>
          <o:OLEObject Type="Embed" ProgID="Equation.DSMT4" ShapeID="_x0000_i1045" DrawAspect="Content" ObjectID="_1523723634" r:id="rId49"/>
        </w:object>
      </w:r>
      <w:r>
        <w:t xml:space="preserve">, can be obtained. </w:t>
      </w:r>
    </w:p>
    <w:p w:rsidR="006910C7" w:rsidRDefault="00A776F3" w:rsidP="003E670E">
      <w:r>
        <w:lastRenderedPageBreak/>
        <w:t>W</w:t>
      </w:r>
      <w:r w:rsidR="006910C7">
        <w:t>e propose the following decision rule:</w:t>
      </w:r>
    </w:p>
    <w:p w:rsidR="006910C7" w:rsidRDefault="006910C7" w:rsidP="00426CEB">
      <w:pPr>
        <w:numPr>
          <w:ilvl w:val="0"/>
          <w:numId w:val="6"/>
        </w:numPr>
      </w:pPr>
      <w:r>
        <w:t xml:space="preserve">Reject the hypothesis </w:t>
      </w:r>
    </w:p>
    <w:p w:rsidR="006910C7" w:rsidRDefault="006910C7" w:rsidP="00426CEB">
      <w:pPr>
        <w:pStyle w:val="MTDisplayEquation"/>
      </w:pPr>
      <w:r>
        <w:tab/>
      </w:r>
      <w:r>
        <w:rPr>
          <w:rFonts w:eastAsia="Calibri"/>
          <w:position w:val="-12"/>
        </w:rPr>
        <w:object w:dxaOrig="1536" w:dyaOrig="360">
          <v:shape id="_x0000_i1046" type="#_x0000_t75" style="width:77.25pt;height:18pt" o:ole="">
            <v:imagedata r:id="rId50" o:title=""/>
          </v:shape>
          <o:OLEObject Type="Embed" ProgID="Equation.DSMT4" ShapeID="_x0000_i1046" DrawAspect="Content" ObjectID="_1523723635" r:id="rId51"/>
        </w:object>
      </w:r>
      <w:r>
        <w:t xml:space="preserve"> versus </w:t>
      </w:r>
      <w:r>
        <w:rPr>
          <w:rFonts w:eastAsia="Calibri"/>
          <w:position w:val="-12"/>
        </w:rPr>
        <w:object w:dxaOrig="1524" w:dyaOrig="360">
          <v:shape id="_x0000_i1047" type="#_x0000_t75" style="width:75.75pt;height:18pt" o:ole="">
            <v:imagedata r:id="rId52" o:title=""/>
          </v:shape>
          <o:OLEObject Type="Embed" ProgID="Equation.DSMT4" ShapeID="_x0000_i1047" DrawAspect="Content" ObjectID="_1523723636" r:id="rId53"/>
        </w:object>
      </w:r>
    </w:p>
    <w:p w:rsidR="006910C7" w:rsidRDefault="006910C7" w:rsidP="00426CEB">
      <w:r>
        <w:t xml:space="preserve">        if </w:t>
      </w:r>
    </w:p>
    <w:p w:rsidR="006910C7" w:rsidRDefault="006910C7" w:rsidP="00426CEB">
      <w:pPr>
        <w:pStyle w:val="MTDisplayEquation"/>
      </w:pPr>
      <w:r>
        <w:tab/>
      </w:r>
      <w:r w:rsidR="00FD4279" w:rsidRPr="00426CEB">
        <w:rPr>
          <w:rFonts w:eastAsia="Calibri"/>
          <w:position w:val="-24"/>
        </w:rPr>
        <w:object w:dxaOrig="4680" w:dyaOrig="620">
          <v:shape id="_x0000_i1048" type="#_x0000_t75" style="width:234pt;height:30.75pt" o:ole="">
            <v:imagedata r:id="rId54" o:title=""/>
          </v:shape>
          <o:OLEObject Type="Embed" ProgID="Equation.DSMT4" ShapeID="_x0000_i1048" DrawAspect="Content" ObjectID="_1523723637" r:id="rId55"/>
        </w:object>
      </w:r>
      <w:r>
        <w:t xml:space="preserve"> </w:t>
      </w:r>
    </w:p>
    <w:p w:rsidR="00FD4279" w:rsidRDefault="006910C7" w:rsidP="00426CEB">
      <w:r>
        <w:t xml:space="preserve">for a large (pre-specified) value of </w:t>
      </w:r>
      <w:r w:rsidR="00A776F3" w:rsidRPr="00426CEB">
        <w:rPr>
          <w:rFonts w:eastAsia="Calibri"/>
          <w:position w:val="-10"/>
        </w:rPr>
        <w:object w:dxaOrig="300" w:dyaOrig="360">
          <v:shape id="_x0000_i1049" type="#_x0000_t75" style="width:15pt;height:18pt" o:ole="">
            <v:imagedata r:id="rId56" o:title=""/>
          </v:shape>
          <o:OLEObject Type="Embed" ProgID="Equation.DSMT4" ShapeID="_x0000_i1049" DrawAspect="Content" ObjectID="_1523723638" r:id="rId57"/>
        </w:object>
      </w:r>
      <w:r>
        <w:t>such as 0.975</w:t>
      </w:r>
      <w:r w:rsidR="00FD4279">
        <w:t xml:space="preserve">, where </w:t>
      </w:r>
      <w:r w:rsidR="00FD4279" w:rsidRPr="00926227">
        <w:rPr>
          <w:position w:val="-12"/>
        </w:rPr>
        <w:object w:dxaOrig="1620" w:dyaOrig="380">
          <v:shape id="_x0000_i1050" type="#_x0000_t75" style="width:81pt;height:18.75pt" o:ole="">
            <v:imagedata r:id="rId58" o:title=""/>
          </v:shape>
          <o:OLEObject Type="Embed" ProgID="Equation.DSMT4" ShapeID="_x0000_i1050" DrawAspect="Content" ObjectID="_1523723639" r:id="rId59"/>
        </w:object>
      </w:r>
      <w:r w:rsidR="00FD4279">
        <w:t>denote</w:t>
      </w:r>
      <w:r w:rsidR="001372D3">
        <w:t>s</w:t>
      </w:r>
      <w:r w:rsidR="00FD4279">
        <w:t xml:space="preserve"> the MCMC samples on </w:t>
      </w:r>
      <w:r w:rsidR="00FD4279">
        <w:rPr>
          <w:rFonts w:eastAsia="Calibri"/>
          <w:position w:val="-12"/>
        </w:rPr>
        <w:object w:dxaOrig="264" w:dyaOrig="360">
          <v:shape id="_x0000_i1051" type="#_x0000_t75" style="width:12.75pt;height:18pt" o:ole="">
            <v:imagedata r:id="rId46" o:title=""/>
          </v:shape>
          <o:OLEObject Type="Embed" ProgID="Equation.DSMT4" ShapeID="_x0000_i1051" DrawAspect="Content" ObjectID="_1523723640" r:id="rId60"/>
        </w:object>
      </w:r>
      <w:r w:rsidR="00A776F3">
        <w:t xml:space="preserve">. </w:t>
      </w:r>
    </w:p>
    <w:p w:rsidR="006910C7" w:rsidRDefault="00FD4279" w:rsidP="00426CEB">
      <w:r>
        <w:t>We use the Monte Carlo simulations to access the frequentists operating characteristics namely the type-I error and power:</w:t>
      </w:r>
    </w:p>
    <w:p w:rsidR="00FD4279" w:rsidRDefault="00FD4279" w:rsidP="00426CEB">
      <w:pPr>
        <w:pStyle w:val="MTDisplayEquation"/>
      </w:pPr>
      <w:r>
        <w:tab/>
      </w:r>
      <w:r w:rsidR="00FD20E9" w:rsidRPr="00426CEB">
        <w:rPr>
          <w:position w:val="-64"/>
        </w:rPr>
        <w:object w:dxaOrig="4260" w:dyaOrig="1400">
          <v:shape id="_x0000_i1052" type="#_x0000_t75" style="width:213pt;height:69.75pt" o:ole="">
            <v:imagedata r:id="rId61" o:title=""/>
          </v:shape>
          <o:OLEObject Type="Embed" ProgID="Equation.DSMT4" ShapeID="_x0000_i1052" DrawAspect="Content" ObjectID="_1523723641" r:id="rId62"/>
        </w:object>
      </w:r>
      <w:r>
        <w:t xml:space="preserve"> </w:t>
      </w:r>
    </w:p>
    <w:p w:rsidR="000E68E4" w:rsidRDefault="000E68E4" w:rsidP="00426CEB">
      <w:pPr>
        <w:autoSpaceDE w:val="0"/>
        <w:autoSpaceDN w:val="0"/>
        <w:adjustRightInd w:val="0"/>
      </w:pPr>
    </w:p>
    <w:p w:rsidR="0077426B" w:rsidRDefault="00FD20E9" w:rsidP="00A85A68">
      <w:r>
        <w:t xml:space="preserve">where </w:t>
      </w:r>
      <w:r w:rsidRPr="00926227">
        <w:rPr>
          <w:position w:val="-14"/>
        </w:rPr>
        <w:object w:dxaOrig="1500" w:dyaOrig="400">
          <v:shape id="_x0000_i1053" type="#_x0000_t75" style="width:75pt;height:20.25pt" o:ole="">
            <v:imagedata r:id="rId63" o:title=""/>
          </v:shape>
          <o:OLEObject Type="Embed" ProgID="Equation.DSMT4" ShapeID="_x0000_i1053" DrawAspect="Content" ObjectID="_1523723642" r:id="rId64"/>
        </w:object>
      </w:r>
      <w:r>
        <w:t xml:space="preserve"> and </w:t>
      </w:r>
      <w:r w:rsidRPr="00926227">
        <w:rPr>
          <w:position w:val="-14"/>
        </w:rPr>
        <w:object w:dxaOrig="1500" w:dyaOrig="400">
          <v:shape id="_x0000_i1054" type="#_x0000_t75" style="width:75pt;height:20.25pt" o:ole="">
            <v:imagedata r:id="rId65" o:title=""/>
          </v:shape>
          <o:OLEObject Type="Embed" ProgID="Equation.DSMT4" ShapeID="_x0000_i1054" DrawAspect="Content" ObjectID="_1523723643" r:id="rId66"/>
        </w:object>
      </w:r>
      <w:r w:rsidR="0077426B">
        <w:t xml:space="preserve">are the posterior probabilities based </w:t>
      </w:r>
      <w:r>
        <w:t xml:space="preserve">the Monte Carlo data </w:t>
      </w:r>
      <w:r w:rsidRPr="00926227">
        <w:rPr>
          <w:position w:val="-4"/>
        </w:rPr>
        <w:object w:dxaOrig="480" w:dyaOrig="300">
          <v:shape id="_x0000_i1055" type="#_x0000_t75" style="width:24pt;height:15pt" o:ole="">
            <v:imagedata r:id="rId67" o:title=""/>
          </v:shape>
          <o:OLEObject Type="Embed" ProgID="Equation.DSMT4" ShapeID="_x0000_i1055" DrawAspect="Content" ObjectID="_1523723644" r:id="rId68"/>
        </w:object>
      </w:r>
      <w:r w:rsidR="0077426B">
        <w:t>, generated under</w:t>
      </w:r>
      <w:r>
        <w:t xml:space="preserve"> the null </w:t>
      </w:r>
      <w:r w:rsidR="0077426B">
        <w:t>and alternative hypothese</w:t>
      </w:r>
      <w:r>
        <w:t xml:space="preserve">s </w:t>
      </w:r>
      <w:r w:rsidRPr="00426CEB">
        <w:rPr>
          <w:position w:val="-12"/>
        </w:rPr>
        <w:object w:dxaOrig="340" w:dyaOrig="360">
          <v:shape id="_x0000_i1056" type="#_x0000_t75" style="width:17.25pt;height:18pt" o:ole="">
            <v:imagedata r:id="rId69" o:title=""/>
          </v:shape>
          <o:OLEObject Type="Embed" ProgID="Equation.DSMT4" ShapeID="_x0000_i1056" DrawAspect="Content" ObjectID="_1523723645" r:id="rId70"/>
        </w:object>
      </w:r>
      <w:r>
        <w:t xml:space="preserve"> and </w:t>
      </w:r>
      <w:r w:rsidR="0077426B" w:rsidRPr="00926227">
        <w:rPr>
          <w:position w:val="-12"/>
        </w:rPr>
        <w:object w:dxaOrig="320" w:dyaOrig="360">
          <v:shape id="_x0000_i1057" type="#_x0000_t75" style="width:15.75pt;height:18pt" o:ole="">
            <v:imagedata r:id="rId71" o:title=""/>
          </v:shape>
          <o:OLEObject Type="Embed" ProgID="Equation.DSMT4" ShapeID="_x0000_i1057" DrawAspect="Content" ObjectID="_1523723646" r:id="rId72"/>
        </w:object>
      </w:r>
      <w:r w:rsidR="0077426B">
        <w:t xml:space="preserve">, respectively. Here, both </w:t>
      </w:r>
      <w:r w:rsidR="0077426B" w:rsidRPr="00426CEB">
        <w:rPr>
          <w:position w:val="-6"/>
        </w:rPr>
        <w:object w:dxaOrig="279" w:dyaOrig="260">
          <v:shape id="_x0000_i1058" type="#_x0000_t75" style="width:14.25pt;height:12.75pt" o:ole="">
            <v:imagedata r:id="rId73" o:title=""/>
          </v:shape>
          <o:OLEObject Type="Embed" ProgID="Equation.DSMT4" ShapeID="_x0000_i1058" DrawAspect="Content" ObjectID="_1523723647" r:id="rId74"/>
        </w:object>
      </w:r>
      <w:r w:rsidR="0077426B">
        <w:t xml:space="preserve"> and </w:t>
      </w:r>
      <w:r w:rsidR="0077426B" w:rsidRPr="0077426B">
        <w:rPr>
          <w:position w:val="-4"/>
        </w:rPr>
        <w:object w:dxaOrig="320" w:dyaOrig="240">
          <v:shape id="_x0000_i1059" type="#_x0000_t75" style="width:15.75pt;height:12pt" o:ole="">
            <v:imagedata r:id="rId75" o:title=""/>
          </v:shape>
          <o:OLEObject Type="Embed" ProgID="Equation.DSMT4" ShapeID="_x0000_i1059" DrawAspect="Content" ObjectID="_1523723648" r:id="rId76"/>
        </w:object>
      </w:r>
      <w:r w:rsidR="0077426B">
        <w:t xml:space="preserve"> are taken to be large. </w:t>
      </w:r>
    </w:p>
    <w:p w:rsidR="0077426B" w:rsidRDefault="0077426B" w:rsidP="00A85A68">
      <w:r>
        <w:t>When the tri</w:t>
      </w:r>
      <w:r w:rsidR="00563565">
        <w:t>a</w:t>
      </w:r>
      <w:r>
        <w:t xml:space="preserve">l includes </w:t>
      </w:r>
      <w:r w:rsidRPr="00926227">
        <w:rPr>
          <w:position w:val="-6"/>
        </w:rPr>
        <w:object w:dxaOrig="260" w:dyaOrig="279">
          <v:shape id="_x0000_i1060" type="#_x0000_t75" style="width:12.75pt;height:14.25pt" o:ole="">
            <v:imagedata r:id="rId77" o:title=""/>
          </v:shape>
          <o:OLEObject Type="Embed" ProgID="Equation.DSMT4" ShapeID="_x0000_i1060" DrawAspect="Content" ObjectID="_1523723649" r:id="rId78"/>
        </w:object>
      </w:r>
      <w:r>
        <w:t xml:space="preserve">subgroups, so that </w:t>
      </w:r>
    </w:p>
    <w:p w:rsidR="0077426B" w:rsidRDefault="0077426B" w:rsidP="0094719E">
      <w:pPr>
        <w:jc w:val="center"/>
      </w:pPr>
      <w:r w:rsidRPr="00426CEB">
        <w:rPr>
          <w:rFonts w:eastAsia="Calibri"/>
          <w:position w:val="-14"/>
        </w:rPr>
        <w:object w:dxaOrig="3260" w:dyaOrig="380">
          <v:shape id="_x0000_i1061" type="#_x0000_t75" style="width:162.75pt;height:18.75pt" o:ole="">
            <v:imagedata r:id="rId79" o:title=""/>
          </v:shape>
          <o:OLEObject Type="Embed" ProgID="Equation.DSMT4" ShapeID="_x0000_i1061" DrawAspect="Content" ObjectID="_1523723650" r:id="rId80"/>
        </w:object>
      </w:r>
    </w:p>
    <w:p w:rsidR="0077426B" w:rsidRDefault="00806B1F" w:rsidP="00563565">
      <w:r>
        <w:t xml:space="preserve">the </w:t>
      </w:r>
      <w:r w:rsidR="00E36857">
        <w:t xml:space="preserve">above </w:t>
      </w:r>
      <w:r>
        <w:t xml:space="preserve">logistic model </w:t>
      </w:r>
      <w:r w:rsidR="0077426B">
        <w:t xml:space="preserve">can be modified to  </w:t>
      </w:r>
    </w:p>
    <w:p w:rsidR="00683AA0" w:rsidRDefault="00203FC9" w:rsidP="0094719E">
      <w:pPr>
        <w:jc w:val="center"/>
        <w:rPr>
          <w:rFonts w:eastAsia="Calibri"/>
        </w:rPr>
      </w:pPr>
      <w:r w:rsidRPr="00203FC9">
        <w:rPr>
          <w:rFonts w:eastAsia="Calibri"/>
          <w:position w:val="-14"/>
        </w:rPr>
        <w:object w:dxaOrig="4780" w:dyaOrig="380">
          <v:shape id="_x0000_i1062" type="#_x0000_t75" style="width:239.25pt;height:18.75pt" o:ole="">
            <v:imagedata r:id="rId81" o:title=""/>
          </v:shape>
          <o:OLEObject Type="Embed" ProgID="Equation.DSMT4" ShapeID="_x0000_i1062" DrawAspect="Content" ObjectID="_1523723651" r:id="rId82"/>
        </w:object>
      </w:r>
    </w:p>
    <w:p w:rsidR="00203FC9" w:rsidRDefault="00E36857" w:rsidP="00563565">
      <w:r>
        <w:rPr>
          <w:rFonts w:eastAsia="Calibri"/>
        </w:rPr>
        <w:t xml:space="preserve">where </w:t>
      </w:r>
      <w:r w:rsidR="00203FC9">
        <w:rPr>
          <w:rFonts w:eastAsia="Calibri"/>
        </w:rPr>
        <w:t xml:space="preserve">one can assume a hierarchical model for </w:t>
      </w:r>
      <w:r w:rsidR="00203FC9">
        <w:rPr>
          <w:rFonts w:eastAsia="Calibri"/>
          <w:position w:val="-16"/>
        </w:rPr>
        <w:object w:dxaOrig="1540" w:dyaOrig="420">
          <v:shape id="_x0000_i1063" type="#_x0000_t75" style="width:77.25pt;height:21pt" o:ole="">
            <v:imagedata r:id="rId83" o:title=""/>
          </v:shape>
          <o:OLEObject Type="Embed" ProgID="Equation.DSMT4" ShapeID="_x0000_i1063" DrawAspect="Content" ObjectID="_1523723652" r:id="rId84"/>
        </w:object>
      </w:r>
      <w:r>
        <w:rPr>
          <w:rFonts w:eastAsia="Calibri"/>
        </w:rPr>
        <w:t>;</w:t>
      </w:r>
      <w:r w:rsidR="00203FC9">
        <w:rPr>
          <w:rFonts w:eastAsia="Calibri"/>
        </w:rPr>
        <w:t xml:space="preserve"> </w:t>
      </w:r>
      <w:r>
        <w:rPr>
          <w:rFonts w:eastAsia="Calibri"/>
        </w:rPr>
        <w:t>for example, specified by</w:t>
      </w:r>
      <w:r w:rsidR="00203FC9">
        <w:rPr>
          <w:rFonts w:eastAsia="Calibri"/>
        </w:rPr>
        <w:t xml:space="preserve">  </w:t>
      </w:r>
      <w:r w:rsidR="00203FC9" w:rsidRPr="00426CEB">
        <w:rPr>
          <w:position w:val="-36"/>
        </w:rPr>
        <w:object w:dxaOrig="2659" w:dyaOrig="840">
          <v:shape id="_x0000_i1064" type="#_x0000_t75" style="width:132.75pt;height:42pt" o:ole="">
            <v:imagedata r:id="rId85" o:title=""/>
          </v:shape>
          <o:OLEObject Type="Embed" ProgID="Equation.DSMT4" ShapeID="_x0000_i1064" DrawAspect="Content" ObjectID="_1523723653" r:id="rId86"/>
        </w:object>
      </w:r>
    </w:p>
    <w:p w:rsidR="000E325C" w:rsidRDefault="00203FC9" w:rsidP="00563565">
      <w:r>
        <w:lastRenderedPageBreak/>
        <w:t xml:space="preserve">with </w:t>
      </w:r>
      <w:r w:rsidRPr="00426CEB">
        <w:rPr>
          <w:position w:val="-12"/>
        </w:rPr>
        <w:object w:dxaOrig="3060" w:dyaOrig="380">
          <v:shape id="_x0000_i1065" type="#_x0000_t75" style="width:153pt;height:18.75pt" o:ole="">
            <v:imagedata r:id="rId87" o:title=""/>
          </v:shape>
          <o:OLEObject Type="Embed" ProgID="Equation.DSMT4" ShapeID="_x0000_i1065" DrawAspect="Content" ObjectID="_1523723654" r:id="rId88"/>
        </w:object>
      </w:r>
      <w:r>
        <w:t xml:space="preserve">and the variance components </w:t>
      </w:r>
      <w:r w:rsidRPr="00926227">
        <w:rPr>
          <w:position w:val="-14"/>
        </w:rPr>
        <w:object w:dxaOrig="380" w:dyaOrig="400">
          <v:shape id="_x0000_i1066" type="#_x0000_t75" style="width:18.75pt;height:20.25pt" o:ole="">
            <v:imagedata r:id="rId89" o:title=""/>
          </v:shape>
          <o:OLEObject Type="Embed" ProgID="Equation.DSMT4" ShapeID="_x0000_i1066" DrawAspect="Content" ObjectID="_1523723655" r:id="rId90"/>
        </w:object>
      </w:r>
      <w:r>
        <w:t xml:space="preserve">and </w:t>
      </w:r>
      <w:r w:rsidRPr="00926227">
        <w:rPr>
          <w:position w:val="-14"/>
        </w:rPr>
        <w:object w:dxaOrig="360" w:dyaOrig="400">
          <v:shape id="_x0000_i1067" type="#_x0000_t75" style="width:18pt;height:20.25pt" o:ole="">
            <v:imagedata r:id="rId91" o:title=""/>
          </v:shape>
          <o:OLEObject Type="Embed" ProgID="Equation.DSMT4" ShapeID="_x0000_i1067" DrawAspect="Content" ObjectID="_1523723656" r:id="rId92"/>
        </w:object>
      </w:r>
      <w:r>
        <w:t xml:space="preserve">having independent </w:t>
      </w:r>
      <w:r w:rsidR="000E325C">
        <w:t xml:space="preserve">diffuse inverse-gamma, half-Cauchy or uniform </w:t>
      </w:r>
      <w:r>
        <w:t>priors</w:t>
      </w:r>
      <w:r w:rsidR="000E325C">
        <w:t xml:space="preserve">. </w:t>
      </w:r>
      <w:r w:rsidR="007A2F41">
        <w:t xml:space="preserve"> </w:t>
      </w:r>
      <w:r w:rsidR="00287874">
        <w:t>The Bayesian methods for other endpoints such as the absolute risk difference or relative risk ratio can be derived in a similar manner.</w:t>
      </w:r>
    </w:p>
    <w:p w:rsidR="00ED7ABC" w:rsidRDefault="00ED7ABC" w:rsidP="00563565">
      <w:r w:rsidRPr="00ED7ABC">
        <w:t xml:space="preserve">If the number of gene-mutated groups is large, with small sample sizes, the odds-ratio estimates across groups may form different clusters. </w:t>
      </w:r>
      <w:r w:rsidR="0032504F">
        <w:t xml:space="preserve"> </w:t>
      </w:r>
      <w:r w:rsidRPr="00ED7ABC">
        <w:t xml:space="preserve">In that case, instead of using a bi-variate normal prior for </w:t>
      </w:r>
      <w:r w:rsidRPr="00ED7ABC">
        <w:object w:dxaOrig="320" w:dyaOrig="400">
          <v:shape id="_x0000_i1068" type="#_x0000_t75" style="width:15.75pt;height:20.25pt" o:ole="">
            <v:imagedata r:id="rId93" o:title=""/>
          </v:shape>
          <o:OLEObject Type="Embed" ProgID="Equation.DSMT4" ShapeID="_x0000_i1068" DrawAspect="Content" ObjectID="_1523723657" r:id="rId94"/>
        </w:object>
      </w:r>
      <w:r w:rsidRPr="00ED7ABC">
        <w:t>, one may use a Dirichlet process prior (Fergusion, 1973</w:t>
      </w:r>
      <w:r w:rsidR="00D20B9E">
        <w:rPr>
          <w:rStyle w:val="EndnoteReference"/>
        </w:rPr>
        <w:endnoteReference w:id="11"/>
      </w:r>
      <w:r w:rsidRPr="00ED7ABC">
        <w:t xml:space="preserve">). </w:t>
      </w:r>
    </w:p>
    <w:p w:rsidR="0032504F" w:rsidRDefault="000E325C" w:rsidP="00A85A68">
      <w:pPr>
        <w:rPr>
          <w:highlight w:val="yellow"/>
        </w:rPr>
      </w:pPr>
      <w:r>
        <w:t>The Bayesian approach described above can easily be extended to (Bayesian) adaptive designs and/or for non</w:t>
      </w:r>
      <w:r w:rsidR="0032504F">
        <w:t>-</w:t>
      </w:r>
      <w:r>
        <w:t>inferirority trials.</w:t>
      </w:r>
    </w:p>
    <w:p w:rsidR="00A85A68" w:rsidRPr="00C175E5" w:rsidRDefault="007F3F03" w:rsidP="00A85A68">
      <w:r w:rsidRPr="005442F4">
        <w:rPr>
          <w:highlight w:val="yellow"/>
          <w:u w:val="single"/>
        </w:rPr>
        <w:t>Summary</w:t>
      </w:r>
    </w:p>
    <w:p w:rsidR="0032504F" w:rsidRPr="005442F4" w:rsidRDefault="00526C0A" w:rsidP="00B82F94">
      <w:r w:rsidRPr="005442F4">
        <w:rPr>
          <w:highlight w:val="yellow"/>
        </w:rPr>
        <w:t>Small population trial</w:t>
      </w:r>
      <w:r w:rsidR="0032504F" w:rsidRPr="005442F4">
        <w:rPr>
          <w:highlight w:val="yellow"/>
        </w:rPr>
        <w:t xml:space="preserve"> in rare diseases pose</w:t>
      </w:r>
      <w:r w:rsidRPr="005442F4">
        <w:rPr>
          <w:highlight w:val="yellow"/>
        </w:rPr>
        <w:t>s</w:t>
      </w:r>
      <w:r w:rsidR="0032504F" w:rsidRPr="005442F4">
        <w:rPr>
          <w:highlight w:val="yellow"/>
        </w:rPr>
        <w:t xml:space="preserve"> unique challenges in both</w:t>
      </w:r>
      <w:r w:rsidRPr="005442F4">
        <w:rPr>
          <w:highlight w:val="yellow"/>
        </w:rPr>
        <w:t xml:space="preserve"> trial design and data analyses, while it also provides</w:t>
      </w:r>
      <w:r w:rsidR="0032504F" w:rsidRPr="005442F4">
        <w:rPr>
          <w:highlight w:val="yellow"/>
        </w:rPr>
        <w:t xml:space="preserve"> </w:t>
      </w:r>
      <w:r w:rsidRPr="005442F4">
        <w:rPr>
          <w:highlight w:val="yellow"/>
        </w:rPr>
        <w:t xml:space="preserve">opportunities for innovative designs and methods.  The FDA not only provides regulatory flexibilities, but also </w:t>
      </w:r>
      <w:r w:rsidR="00790B4A" w:rsidRPr="005442F4">
        <w:rPr>
          <w:highlight w:val="yellow"/>
        </w:rPr>
        <w:t xml:space="preserve">has led </w:t>
      </w:r>
      <w:r w:rsidRPr="005442F4">
        <w:rPr>
          <w:highlight w:val="yellow"/>
        </w:rPr>
        <w:t>great effort</w:t>
      </w:r>
      <w:r w:rsidR="00790B4A" w:rsidRPr="005442F4">
        <w:rPr>
          <w:highlight w:val="yellow"/>
        </w:rPr>
        <w:t>s</w:t>
      </w:r>
      <w:r w:rsidRPr="005442F4">
        <w:rPr>
          <w:highlight w:val="yellow"/>
        </w:rPr>
        <w:t xml:space="preserve"> in </w:t>
      </w:r>
      <w:r w:rsidR="00790B4A" w:rsidRPr="005442F4">
        <w:rPr>
          <w:highlight w:val="yellow"/>
        </w:rPr>
        <w:t xml:space="preserve">research and practice for rare disease clinical programs.  With an increasing number of orphan products submissions, the FDA has cultivated early and frequent communication </w:t>
      </w:r>
      <w:r w:rsidR="00967645" w:rsidRPr="005442F4">
        <w:rPr>
          <w:highlight w:val="yellow"/>
        </w:rPr>
        <w:t xml:space="preserve">with the stakeholders </w:t>
      </w:r>
      <w:r w:rsidR="00790B4A" w:rsidRPr="005442F4">
        <w:rPr>
          <w:highlight w:val="yellow"/>
        </w:rPr>
        <w:t xml:space="preserve">to facilitate the regulatory review process.  There </w:t>
      </w:r>
      <w:r w:rsidR="00967645" w:rsidRPr="005442F4">
        <w:rPr>
          <w:highlight w:val="yellow"/>
        </w:rPr>
        <w:t>remain unexplored area to discover and develop in small population trial design and analyses and this section has briefly laid out the FDA's current thinking.</w:t>
      </w:r>
    </w:p>
    <w:p w:rsidR="00526C0A" w:rsidRDefault="00526C0A" w:rsidP="00B82F94">
      <w:pPr>
        <w:rPr>
          <w:u w:val="single"/>
        </w:rPr>
      </w:pPr>
    </w:p>
    <w:p w:rsidR="00A85A68" w:rsidRPr="00D20B9E" w:rsidRDefault="00D20B9E" w:rsidP="00B82F94">
      <w:pPr>
        <w:rPr>
          <w:u w:val="single"/>
        </w:rPr>
      </w:pPr>
      <w:r>
        <w:rPr>
          <w:u w:val="single"/>
        </w:rPr>
        <w:t>Reference</w:t>
      </w:r>
      <w:r w:rsidR="00287874">
        <w:rPr>
          <w:u w:val="single"/>
        </w:rPr>
        <w:t>s</w:t>
      </w:r>
    </w:p>
    <w:sectPr w:rsidR="00A85A68" w:rsidRPr="00D20B9E">
      <w:footerReference w:type="default" r:id="rId9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C00" w:rsidRDefault="00C75C00" w:rsidP="0013577A">
      <w:pPr>
        <w:spacing w:after="0" w:line="240" w:lineRule="auto"/>
      </w:pPr>
      <w:r>
        <w:separator/>
      </w:r>
    </w:p>
  </w:endnote>
  <w:endnote w:type="continuationSeparator" w:id="0">
    <w:p w:rsidR="00C75C00" w:rsidRDefault="00C75C00" w:rsidP="0013577A">
      <w:pPr>
        <w:spacing w:after="0" w:line="240" w:lineRule="auto"/>
      </w:pPr>
      <w:r>
        <w:continuationSeparator/>
      </w:r>
    </w:p>
  </w:endnote>
  <w:endnote w:id="1">
    <w:p w:rsidR="00D20B9E" w:rsidRDefault="00D20B9E">
      <w:pPr>
        <w:pStyle w:val="EndnoteText"/>
      </w:pPr>
      <w:r>
        <w:rPr>
          <w:rStyle w:val="EndnoteReference"/>
        </w:rPr>
        <w:endnoteRef/>
      </w:r>
      <w:r>
        <w:t xml:space="preserve"> </w:t>
      </w:r>
      <w:r w:rsidRPr="00D20B9E">
        <w:t>Public Law 97-414, 96 Stat. 2049 (1983).  Amended by Public Law 98-551 (1984) to add a numeric prevalence threshold to the definition of rare diseases.</w:t>
      </w:r>
    </w:p>
  </w:endnote>
  <w:endnote w:id="2">
    <w:p w:rsidR="00D20B9E" w:rsidRDefault="00D20B9E">
      <w:pPr>
        <w:pStyle w:val="EndnoteText"/>
      </w:pPr>
      <w:r>
        <w:rPr>
          <w:rStyle w:val="EndnoteReference"/>
        </w:rPr>
        <w:endnoteRef/>
      </w:r>
      <w:r>
        <w:t xml:space="preserve"> </w:t>
      </w:r>
      <w:r w:rsidRPr="00D20B9E">
        <w:t>21 CFR 314.105.</w:t>
      </w:r>
    </w:p>
  </w:endnote>
  <w:endnote w:id="3">
    <w:p w:rsidR="00D20B9E" w:rsidRDefault="00D20B9E">
      <w:pPr>
        <w:pStyle w:val="EndnoteText"/>
      </w:pPr>
      <w:r>
        <w:rPr>
          <w:rStyle w:val="EndnoteReference"/>
        </w:rPr>
        <w:endnoteRef/>
      </w:r>
      <w:r>
        <w:t xml:space="preserve"> </w:t>
      </w:r>
      <w:r w:rsidRPr="00D20B9E">
        <w:t>FDA draft guidance for industry, 2012, Enrichment Strategies for Clinical Trials to Support Approval of Human Drugs and Biological Products.</w:t>
      </w:r>
    </w:p>
  </w:endnote>
  <w:endnote w:id="4">
    <w:p w:rsidR="00D20B9E" w:rsidRDefault="00D20B9E">
      <w:pPr>
        <w:pStyle w:val="EndnoteText"/>
      </w:pPr>
      <w:r>
        <w:rPr>
          <w:rStyle w:val="EndnoteReference"/>
        </w:rPr>
        <w:endnoteRef/>
      </w:r>
      <w:r>
        <w:t xml:space="preserve"> </w:t>
      </w:r>
      <w:r w:rsidRPr="00D20B9E">
        <w:t xml:space="preserve">Gibbons, J. D., I. Olkin, and M. Sobel, 1979, An introduction to ranking and selection, </w:t>
      </w:r>
      <w:r w:rsidRPr="00D20B9E">
        <w:rPr>
          <w:i/>
        </w:rPr>
        <w:t>The American Statistician</w:t>
      </w:r>
      <w:r w:rsidRPr="00D20B9E">
        <w:t xml:space="preserve">, 33: 185–192. </w:t>
      </w:r>
    </w:p>
  </w:endnote>
  <w:endnote w:id="5">
    <w:p w:rsidR="00D20B9E" w:rsidRDefault="00D20B9E">
      <w:pPr>
        <w:pStyle w:val="EndnoteText"/>
      </w:pPr>
      <w:r>
        <w:rPr>
          <w:rStyle w:val="EndnoteReference"/>
        </w:rPr>
        <w:endnoteRef/>
      </w:r>
      <w:r>
        <w:t xml:space="preserve"> </w:t>
      </w:r>
      <w:r w:rsidRPr="00D20B9E">
        <w:t>FDA draft guidance for industry, 2010, Adaptive Design Clinical Trials for Drugs and Biologics</w:t>
      </w:r>
      <w:r>
        <w:rPr>
          <w:u w:val="single"/>
        </w:rPr>
        <w:t>.</w:t>
      </w:r>
    </w:p>
  </w:endnote>
  <w:endnote w:id="6">
    <w:p w:rsidR="00D23D59" w:rsidRDefault="00D23D59" w:rsidP="00D23D59">
      <w:pPr>
        <w:pStyle w:val="EndnoteText"/>
      </w:pPr>
      <w:r>
        <w:rPr>
          <w:rStyle w:val="EndnoteReference"/>
        </w:rPr>
        <w:endnoteRef/>
      </w:r>
      <w:r>
        <w:t xml:space="preserve"> </w:t>
      </w:r>
      <w:r w:rsidRPr="00D20B9E">
        <w:t>The Prevention and Treatment of Missing Data in Clinical Trials</w:t>
      </w:r>
      <w:r>
        <w:t>, 2010.</w:t>
      </w:r>
    </w:p>
  </w:endnote>
  <w:endnote w:id="7">
    <w:p w:rsidR="007C1D7E" w:rsidRPr="005442F4" w:rsidRDefault="007C1D7E">
      <w:pPr>
        <w:pStyle w:val="EndnoteText"/>
        <w:rPr>
          <w:highlight w:val="yellow"/>
        </w:rPr>
      </w:pPr>
      <w:r w:rsidRPr="005442F4">
        <w:rPr>
          <w:rStyle w:val="EndnoteReference"/>
          <w:highlight w:val="yellow"/>
        </w:rPr>
        <w:endnoteRef/>
      </w:r>
      <w:r w:rsidRPr="005442F4">
        <w:rPr>
          <w:highlight w:val="yellow"/>
        </w:rPr>
        <w:t xml:space="preserve"> LaVange, L.M., and Permutt, T, 2015, A regulatory perspective on missing data in the aftermath of the NRC report, </w:t>
      </w:r>
      <w:r w:rsidRPr="005442F4">
        <w:rPr>
          <w:i/>
          <w:highlight w:val="yellow"/>
        </w:rPr>
        <w:t>Statistics in Medicine</w:t>
      </w:r>
      <w:r w:rsidRPr="005442F4">
        <w:rPr>
          <w:highlight w:val="yellow"/>
        </w:rPr>
        <w:t>, DOI: 10.1002/sim.6840</w:t>
      </w:r>
    </w:p>
  </w:endnote>
  <w:endnote w:id="8">
    <w:p w:rsidR="007C1D7E" w:rsidRDefault="007C1D7E">
      <w:pPr>
        <w:pStyle w:val="EndnoteText"/>
      </w:pPr>
      <w:r w:rsidRPr="005442F4">
        <w:rPr>
          <w:rStyle w:val="EndnoteReference"/>
          <w:highlight w:val="yellow"/>
        </w:rPr>
        <w:endnoteRef/>
      </w:r>
      <w:r w:rsidRPr="005442F4">
        <w:rPr>
          <w:highlight w:val="yellow"/>
        </w:rPr>
        <w:t xml:space="preserve"> Permutt, T, 2015 Sensitivity analysis for missing data in regulatory submissions, </w:t>
      </w:r>
      <w:r w:rsidRPr="005442F4">
        <w:rPr>
          <w:i/>
          <w:highlight w:val="yellow"/>
        </w:rPr>
        <w:t>Statistics in Medicine,</w:t>
      </w:r>
      <w:r w:rsidRPr="005442F4">
        <w:rPr>
          <w:highlight w:val="yellow"/>
        </w:rPr>
        <w:t xml:space="preserve"> DOI: 10.1002/sim.6753</w:t>
      </w:r>
    </w:p>
  </w:endnote>
  <w:endnote w:id="9">
    <w:p w:rsidR="00D20B9E" w:rsidRDefault="00D20B9E">
      <w:pPr>
        <w:pStyle w:val="EndnoteText"/>
      </w:pPr>
      <w:r>
        <w:rPr>
          <w:rStyle w:val="EndnoteReference"/>
        </w:rPr>
        <w:endnoteRef/>
      </w:r>
      <w:r>
        <w:t xml:space="preserve"> </w:t>
      </w:r>
      <w:r w:rsidRPr="00D20B9E">
        <w:t xml:space="preserve">Ibrahim, J.G., and Chen, M-H, 2000, Power prior distribution for regression models, </w:t>
      </w:r>
      <w:r w:rsidRPr="00D20B9E">
        <w:rPr>
          <w:i/>
        </w:rPr>
        <w:t>Statistical Science</w:t>
      </w:r>
      <w:r w:rsidRPr="00D20B9E">
        <w:t>, 25: 46-60.</w:t>
      </w:r>
    </w:p>
  </w:endnote>
  <w:endnote w:id="10">
    <w:p w:rsidR="00D20B9E" w:rsidRDefault="00D20B9E">
      <w:pPr>
        <w:pStyle w:val="EndnoteText"/>
      </w:pPr>
      <w:r>
        <w:rPr>
          <w:rStyle w:val="EndnoteReference"/>
        </w:rPr>
        <w:endnoteRef/>
      </w:r>
      <w:r>
        <w:t xml:space="preserve"> </w:t>
      </w:r>
      <w:r w:rsidRPr="00D20B9E">
        <w:t xml:space="preserve">Gamalo, M.A., Tiwari, R.C., and LaVange, L.M., 2014, Bayesian approach to the design and analysis of non-inferiority trials for anti-infective products, </w:t>
      </w:r>
      <w:r w:rsidRPr="00D20B9E">
        <w:rPr>
          <w:i/>
        </w:rPr>
        <w:t>Pharmaceutical Statistics</w:t>
      </w:r>
      <w:r w:rsidRPr="00D20B9E">
        <w:t>, 13: 25-40.</w:t>
      </w:r>
    </w:p>
  </w:endnote>
  <w:endnote w:id="11">
    <w:p w:rsidR="00D20B9E" w:rsidRDefault="00D20B9E">
      <w:pPr>
        <w:pStyle w:val="EndnoteText"/>
      </w:pPr>
      <w:r>
        <w:rPr>
          <w:rStyle w:val="EndnoteReference"/>
        </w:rPr>
        <w:endnoteRef/>
      </w:r>
      <w:r>
        <w:t xml:space="preserve"> </w:t>
      </w:r>
      <w:r w:rsidRPr="00D20B9E">
        <w:rPr>
          <w:lang w:val="en"/>
        </w:rPr>
        <w:t xml:space="preserve">Ferguson, T. S., 1973, A Bayesian Analysis of Some Nonparametric Problems, </w:t>
      </w:r>
      <w:r w:rsidRPr="00D20B9E">
        <w:rPr>
          <w:i/>
          <w:lang w:val="en"/>
        </w:rPr>
        <w:t>Ann. Statist</w:t>
      </w:r>
      <w:r w:rsidRPr="00D20B9E">
        <w:rPr>
          <w:lang w:val="en"/>
        </w:rPr>
        <w:t>., 1: 209-230.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MSS1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57" w:rsidRDefault="00A42757">
    <w:pPr>
      <w:pStyle w:val="Footer"/>
      <w:jc w:val="center"/>
    </w:pPr>
    <w:r>
      <w:fldChar w:fldCharType="begin"/>
    </w:r>
    <w:r>
      <w:instrText xml:space="preserve"> PAGE   \* MERGEFORMAT </w:instrText>
    </w:r>
    <w:r>
      <w:fldChar w:fldCharType="separate"/>
    </w:r>
    <w:r w:rsidR="00833EB6">
      <w:rPr>
        <w:noProof/>
      </w:rPr>
      <w:t>2</w:t>
    </w:r>
    <w:r>
      <w:rPr>
        <w:noProof/>
      </w:rPr>
      <w:fldChar w:fldCharType="end"/>
    </w:r>
  </w:p>
  <w:p w:rsidR="00A42757" w:rsidRDefault="00A42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C00" w:rsidRDefault="00C75C00" w:rsidP="0013577A">
      <w:pPr>
        <w:spacing w:after="0" w:line="240" w:lineRule="auto"/>
      </w:pPr>
      <w:r>
        <w:separator/>
      </w:r>
    </w:p>
  </w:footnote>
  <w:footnote w:type="continuationSeparator" w:id="0">
    <w:p w:rsidR="00C75C00" w:rsidRDefault="00C75C00" w:rsidP="001357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C3455"/>
    <w:multiLevelType w:val="hybridMultilevel"/>
    <w:tmpl w:val="DA82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6356CD"/>
    <w:multiLevelType w:val="hybridMultilevel"/>
    <w:tmpl w:val="8642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216C50"/>
    <w:multiLevelType w:val="hybridMultilevel"/>
    <w:tmpl w:val="02C6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8A0122"/>
    <w:multiLevelType w:val="hybridMultilevel"/>
    <w:tmpl w:val="29A4D72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61636A49"/>
    <w:multiLevelType w:val="hybridMultilevel"/>
    <w:tmpl w:val="9CCC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1E043F"/>
    <w:multiLevelType w:val="hybridMultilevel"/>
    <w:tmpl w:val="48B6D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94"/>
    <w:rsid w:val="00031278"/>
    <w:rsid w:val="00034C5E"/>
    <w:rsid w:val="000D047B"/>
    <w:rsid w:val="000E325C"/>
    <w:rsid w:val="000E68E4"/>
    <w:rsid w:val="000F7070"/>
    <w:rsid w:val="00100DBC"/>
    <w:rsid w:val="00112587"/>
    <w:rsid w:val="00123232"/>
    <w:rsid w:val="00126EE5"/>
    <w:rsid w:val="0013577A"/>
    <w:rsid w:val="001372D3"/>
    <w:rsid w:val="0015212F"/>
    <w:rsid w:val="001C0897"/>
    <w:rsid w:val="001D12BB"/>
    <w:rsid w:val="001D15FD"/>
    <w:rsid w:val="00203FC9"/>
    <w:rsid w:val="00207848"/>
    <w:rsid w:val="00233463"/>
    <w:rsid w:val="0025232B"/>
    <w:rsid w:val="00287874"/>
    <w:rsid w:val="002A28B1"/>
    <w:rsid w:val="0032504F"/>
    <w:rsid w:val="00331E54"/>
    <w:rsid w:val="00350207"/>
    <w:rsid w:val="0035349C"/>
    <w:rsid w:val="003578C8"/>
    <w:rsid w:val="0036508E"/>
    <w:rsid w:val="00366D9B"/>
    <w:rsid w:val="00371C1C"/>
    <w:rsid w:val="003E670E"/>
    <w:rsid w:val="0041562C"/>
    <w:rsid w:val="00426CEB"/>
    <w:rsid w:val="0042725E"/>
    <w:rsid w:val="00447C30"/>
    <w:rsid w:val="00463086"/>
    <w:rsid w:val="004B701A"/>
    <w:rsid w:val="004F3F90"/>
    <w:rsid w:val="00503858"/>
    <w:rsid w:val="00526C0A"/>
    <w:rsid w:val="00536E4D"/>
    <w:rsid w:val="005442F4"/>
    <w:rsid w:val="00563565"/>
    <w:rsid w:val="00563FE0"/>
    <w:rsid w:val="0059667C"/>
    <w:rsid w:val="005D534C"/>
    <w:rsid w:val="005E5C36"/>
    <w:rsid w:val="005E780F"/>
    <w:rsid w:val="005F53C7"/>
    <w:rsid w:val="00615B1B"/>
    <w:rsid w:val="00663622"/>
    <w:rsid w:val="00670559"/>
    <w:rsid w:val="00672946"/>
    <w:rsid w:val="00683203"/>
    <w:rsid w:val="00683AA0"/>
    <w:rsid w:val="006910C7"/>
    <w:rsid w:val="006A60D5"/>
    <w:rsid w:val="006E0636"/>
    <w:rsid w:val="006E5195"/>
    <w:rsid w:val="006F296D"/>
    <w:rsid w:val="0077426B"/>
    <w:rsid w:val="00776C7C"/>
    <w:rsid w:val="00790B4A"/>
    <w:rsid w:val="00792E67"/>
    <w:rsid w:val="007A2F41"/>
    <w:rsid w:val="007A6312"/>
    <w:rsid w:val="007C1D7E"/>
    <w:rsid w:val="007F3F03"/>
    <w:rsid w:val="00806B1F"/>
    <w:rsid w:val="00817A37"/>
    <w:rsid w:val="00833EB6"/>
    <w:rsid w:val="00842B95"/>
    <w:rsid w:val="00884342"/>
    <w:rsid w:val="008D59EE"/>
    <w:rsid w:val="00900F3C"/>
    <w:rsid w:val="0094719E"/>
    <w:rsid w:val="0096047B"/>
    <w:rsid w:val="00964B58"/>
    <w:rsid w:val="00967645"/>
    <w:rsid w:val="009A1438"/>
    <w:rsid w:val="009C0987"/>
    <w:rsid w:val="009E36D6"/>
    <w:rsid w:val="00A04C6A"/>
    <w:rsid w:val="00A1222D"/>
    <w:rsid w:val="00A42757"/>
    <w:rsid w:val="00A651E2"/>
    <w:rsid w:val="00A71B41"/>
    <w:rsid w:val="00A776F3"/>
    <w:rsid w:val="00A85A68"/>
    <w:rsid w:val="00AD3547"/>
    <w:rsid w:val="00AD5784"/>
    <w:rsid w:val="00AE317D"/>
    <w:rsid w:val="00B234E9"/>
    <w:rsid w:val="00B358AE"/>
    <w:rsid w:val="00B36D62"/>
    <w:rsid w:val="00B82F94"/>
    <w:rsid w:val="00B970AD"/>
    <w:rsid w:val="00BE32A9"/>
    <w:rsid w:val="00BF609B"/>
    <w:rsid w:val="00C175E5"/>
    <w:rsid w:val="00C75C00"/>
    <w:rsid w:val="00C860A8"/>
    <w:rsid w:val="00CA3BA5"/>
    <w:rsid w:val="00CD2183"/>
    <w:rsid w:val="00CD3B6E"/>
    <w:rsid w:val="00CF1B89"/>
    <w:rsid w:val="00CF7AB3"/>
    <w:rsid w:val="00D04DA1"/>
    <w:rsid w:val="00D20B9E"/>
    <w:rsid w:val="00D23D59"/>
    <w:rsid w:val="00D96CB2"/>
    <w:rsid w:val="00DB3D39"/>
    <w:rsid w:val="00DF228C"/>
    <w:rsid w:val="00E01E87"/>
    <w:rsid w:val="00E36857"/>
    <w:rsid w:val="00E371C7"/>
    <w:rsid w:val="00E54F62"/>
    <w:rsid w:val="00EA489B"/>
    <w:rsid w:val="00ED7731"/>
    <w:rsid w:val="00ED7ABC"/>
    <w:rsid w:val="00EF0A34"/>
    <w:rsid w:val="00F00DEC"/>
    <w:rsid w:val="00F12737"/>
    <w:rsid w:val="00F40B51"/>
    <w:rsid w:val="00F428CA"/>
    <w:rsid w:val="00F430E3"/>
    <w:rsid w:val="00F44937"/>
    <w:rsid w:val="00F513F1"/>
    <w:rsid w:val="00FA5DED"/>
    <w:rsid w:val="00FC1BD6"/>
    <w:rsid w:val="00FD20E9"/>
    <w:rsid w:val="00FD4279"/>
    <w:rsid w:val="00FE546B"/>
    <w:rsid w:val="00FE5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D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DA1"/>
    <w:rPr>
      <w:rFonts w:ascii="Tahoma" w:hAnsi="Tahoma" w:cs="Tahoma"/>
      <w:sz w:val="16"/>
      <w:szCs w:val="16"/>
      <w:lang w:eastAsia="zh-CN"/>
    </w:rPr>
  </w:style>
  <w:style w:type="character" w:customStyle="1" w:styleId="MTDisplayEquationChar">
    <w:name w:val="MTDisplayEquation Char"/>
    <w:link w:val="MTDisplayEquation"/>
    <w:locked/>
    <w:rsid w:val="006910C7"/>
    <w:rPr>
      <w:sz w:val="22"/>
      <w:szCs w:val="22"/>
    </w:rPr>
  </w:style>
  <w:style w:type="paragraph" w:customStyle="1" w:styleId="MTDisplayEquation">
    <w:name w:val="MTDisplayEquation"/>
    <w:basedOn w:val="Normal"/>
    <w:next w:val="Normal"/>
    <w:link w:val="MTDisplayEquationChar"/>
    <w:rsid w:val="006910C7"/>
    <w:pPr>
      <w:tabs>
        <w:tab w:val="center" w:pos="4680"/>
        <w:tab w:val="right" w:pos="9360"/>
      </w:tabs>
    </w:pPr>
    <w:rPr>
      <w:lang w:eastAsia="en-US"/>
    </w:rPr>
  </w:style>
  <w:style w:type="character" w:styleId="CommentReference">
    <w:name w:val="annotation reference"/>
    <w:uiPriority w:val="99"/>
    <w:semiHidden/>
    <w:unhideWhenUsed/>
    <w:rsid w:val="00126EE5"/>
    <w:rPr>
      <w:sz w:val="16"/>
      <w:szCs w:val="16"/>
    </w:rPr>
  </w:style>
  <w:style w:type="paragraph" w:styleId="CommentText">
    <w:name w:val="annotation text"/>
    <w:basedOn w:val="Normal"/>
    <w:link w:val="CommentTextChar"/>
    <w:uiPriority w:val="99"/>
    <w:semiHidden/>
    <w:unhideWhenUsed/>
    <w:rsid w:val="00126EE5"/>
    <w:rPr>
      <w:sz w:val="20"/>
      <w:szCs w:val="20"/>
    </w:rPr>
  </w:style>
  <w:style w:type="character" w:customStyle="1" w:styleId="CommentTextChar">
    <w:name w:val="Comment Text Char"/>
    <w:link w:val="CommentText"/>
    <w:uiPriority w:val="99"/>
    <w:semiHidden/>
    <w:rsid w:val="00126EE5"/>
    <w:rPr>
      <w:lang w:eastAsia="zh-CN"/>
    </w:rPr>
  </w:style>
  <w:style w:type="paragraph" w:styleId="CommentSubject">
    <w:name w:val="annotation subject"/>
    <w:basedOn w:val="CommentText"/>
    <w:next w:val="CommentText"/>
    <w:link w:val="CommentSubjectChar"/>
    <w:uiPriority w:val="99"/>
    <w:semiHidden/>
    <w:unhideWhenUsed/>
    <w:rsid w:val="00126EE5"/>
    <w:rPr>
      <w:b/>
      <w:bCs/>
    </w:rPr>
  </w:style>
  <w:style w:type="character" w:customStyle="1" w:styleId="CommentSubjectChar">
    <w:name w:val="Comment Subject Char"/>
    <w:link w:val="CommentSubject"/>
    <w:uiPriority w:val="99"/>
    <w:semiHidden/>
    <w:rsid w:val="00126EE5"/>
    <w:rPr>
      <w:b/>
      <w:bCs/>
      <w:lang w:eastAsia="zh-CN"/>
    </w:rPr>
  </w:style>
  <w:style w:type="paragraph" w:styleId="Header">
    <w:name w:val="header"/>
    <w:basedOn w:val="Normal"/>
    <w:link w:val="HeaderChar"/>
    <w:uiPriority w:val="99"/>
    <w:unhideWhenUsed/>
    <w:rsid w:val="00A42757"/>
    <w:pPr>
      <w:tabs>
        <w:tab w:val="center" w:pos="4680"/>
        <w:tab w:val="right" w:pos="9360"/>
      </w:tabs>
    </w:pPr>
  </w:style>
  <w:style w:type="character" w:customStyle="1" w:styleId="HeaderChar">
    <w:name w:val="Header Char"/>
    <w:link w:val="Header"/>
    <w:uiPriority w:val="99"/>
    <w:rsid w:val="00A42757"/>
    <w:rPr>
      <w:sz w:val="22"/>
      <w:szCs w:val="22"/>
    </w:rPr>
  </w:style>
  <w:style w:type="paragraph" w:styleId="Footer">
    <w:name w:val="footer"/>
    <w:basedOn w:val="Normal"/>
    <w:link w:val="FooterChar"/>
    <w:uiPriority w:val="99"/>
    <w:unhideWhenUsed/>
    <w:rsid w:val="00A42757"/>
    <w:pPr>
      <w:tabs>
        <w:tab w:val="center" w:pos="4680"/>
        <w:tab w:val="right" w:pos="9360"/>
      </w:tabs>
    </w:pPr>
  </w:style>
  <w:style w:type="character" w:customStyle="1" w:styleId="FooterChar">
    <w:name w:val="Footer Char"/>
    <w:link w:val="Footer"/>
    <w:uiPriority w:val="99"/>
    <w:rsid w:val="00A42757"/>
    <w:rPr>
      <w:sz w:val="22"/>
      <w:szCs w:val="22"/>
    </w:rPr>
  </w:style>
  <w:style w:type="paragraph" w:styleId="EndnoteText">
    <w:name w:val="endnote text"/>
    <w:basedOn w:val="Normal"/>
    <w:link w:val="EndnoteTextChar"/>
    <w:uiPriority w:val="99"/>
    <w:semiHidden/>
    <w:unhideWhenUsed/>
    <w:rsid w:val="00D20B9E"/>
    <w:rPr>
      <w:sz w:val="20"/>
      <w:szCs w:val="20"/>
    </w:rPr>
  </w:style>
  <w:style w:type="character" w:customStyle="1" w:styleId="EndnoteTextChar">
    <w:name w:val="Endnote Text Char"/>
    <w:basedOn w:val="DefaultParagraphFont"/>
    <w:link w:val="EndnoteText"/>
    <w:uiPriority w:val="99"/>
    <w:semiHidden/>
    <w:rsid w:val="00D20B9E"/>
  </w:style>
  <w:style w:type="character" w:styleId="EndnoteReference">
    <w:name w:val="endnote reference"/>
    <w:uiPriority w:val="99"/>
    <w:semiHidden/>
    <w:unhideWhenUsed/>
    <w:rsid w:val="00D20B9E"/>
    <w:rPr>
      <w:vertAlign w:val="superscript"/>
    </w:rPr>
  </w:style>
  <w:style w:type="paragraph" w:styleId="FootnoteText">
    <w:name w:val="footnote text"/>
    <w:basedOn w:val="Normal"/>
    <w:link w:val="FootnoteTextChar"/>
    <w:uiPriority w:val="99"/>
    <w:semiHidden/>
    <w:unhideWhenUsed/>
    <w:rsid w:val="00D20B9E"/>
    <w:rPr>
      <w:sz w:val="20"/>
      <w:szCs w:val="20"/>
    </w:rPr>
  </w:style>
  <w:style w:type="character" w:customStyle="1" w:styleId="FootnoteTextChar">
    <w:name w:val="Footnote Text Char"/>
    <w:basedOn w:val="DefaultParagraphFont"/>
    <w:link w:val="FootnoteText"/>
    <w:uiPriority w:val="99"/>
    <w:semiHidden/>
    <w:rsid w:val="00D20B9E"/>
  </w:style>
  <w:style w:type="character" w:styleId="FootnoteReference">
    <w:name w:val="footnote reference"/>
    <w:uiPriority w:val="99"/>
    <w:semiHidden/>
    <w:unhideWhenUsed/>
    <w:rsid w:val="00D20B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D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DA1"/>
    <w:rPr>
      <w:rFonts w:ascii="Tahoma" w:hAnsi="Tahoma" w:cs="Tahoma"/>
      <w:sz w:val="16"/>
      <w:szCs w:val="16"/>
      <w:lang w:eastAsia="zh-CN"/>
    </w:rPr>
  </w:style>
  <w:style w:type="character" w:customStyle="1" w:styleId="MTDisplayEquationChar">
    <w:name w:val="MTDisplayEquation Char"/>
    <w:link w:val="MTDisplayEquation"/>
    <w:locked/>
    <w:rsid w:val="006910C7"/>
    <w:rPr>
      <w:sz w:val="22"/>
      <w:szCs w:val="22"/>
    </w:rPr>
  </w:style>
  <w:style w:type="paragraph" w:customStyle="1" w:styleId="MTDisplayEquation">
    <w:name w:val="MTDisplayEquation"/>
    <w:basedOn w:val="Normal"/>
    <w:next w:val="Normal"/>
    <w:link w:val="MTDisplayEquationChar"/>
    <w:rsid w:val="006910C7"/>
    <w:pPr>
      <w:tabs>
        <w:tab w:val="center" w:pos="4680"/>
        <w:tab w:val="right" w:pos="9360"/>
      </w:tabs>
    </w:pPr>
    <w:rPr>
      <w:lang w:eastAsia="en-US"/>
    </w:rPr>
  </w:style>
  <w:style w:type="character" w:styleId="CommentReference">
    <w:name w:val="annotation reference"/>
    <w:uiPriority w:val="99"/>
    <w:semiHidden/>
    <w:unhideWhenUsed/>
    <w:rsid w:val="00126EE5"/>
    <w:rPr>
      <w:sz w:val="16"/>
      <w:szCs w:val="16"/>
    </w:rPr>
  </w:style>
  <w:style w:type="paragraph" w:styleId="CommentText">
    <w:name w:val="annotation text"/>
    <w:basedOn w:val="Normal"/>
    <w:link w:val="CommentTextChar"/>
    <w:uiPriority w:val="99"/>
    <w:semiHidden/>
    <w:unhideWhenUsed/>
    <w:rsid w:val="00126EE5"/>
    <w:rPr>
      <w:sz w:val="20"/>
      <w:szCs w:val="20"/>
    </w:rPr>
  </w:style>
  <w:style w:type="character" w:customStyle="1" w:styleId="CommentTextChar">
    <w:name w:val="Comment Text Char"/>
    <w:link w:val="CommentText"/>
    <w:uiPriority w:val="99"/>
    <w:semiHidden/>
    <w:rsid w:val="00126EE5"/>
    <w:rPr>
      <w:lang w:eastAsia="zh-CN"/>
    </w:rPr>
  </w:style>
  <w:style w:type="paragraph" w:styleId="CommentSubject">
    <w:name w:val="annotation subject"/>
    <w:basedOn w:val="CommentText"/>
    <w:next w:val="CommentText"/>
    <w:link w:val="CommentSubjectChar"/>
    <w:uiPriority w:val="99"/>
    <w:semiHidden/>
    <w:unhideWhenUsed/>
    <w:rsid w:val="00126EE5"/>
    <w:rPr>
      <w:b/>
      <w:bCs/>
    </w:rPr>
  </w:style>
  <w:style w:type="character" w:customStyle="1" w:styleId="CommentSubjectChar">
    <w:name w:val="Comment Subject Char"/>
    <w:link w:val="CommentSubject"/>
    <w:uiPriority w:val="99"/>
    <w:semiHidden/>
    <w:rsid w:val="00126EE5"/>
    <w:rPr>
      <w:b/>
      <w:bCs/>
      <w:lang w:eastAsia="zh-CN"/>
    </w:rPr>
  </w:style>
  <w:style w:type="paragraph" w:styleId="Header">
    <w:name w:val="header"/>
    <w:basedOn w:val="Normal"/>
    <w:link w:val="HeaderChar"/>
    <w:uiPriority w:val="99"/>
    <w:unhideWhenUsed/>
    <w:rsid w:val="00A42757"/>
    <w:pPr>
      <w:tabs>
        <w:tab w:val="center" w:pos="4680"/>
        <w:tab w:val="right" w:pos="9360"/>
      </w:tabs>
    </w:pPr>
  </w:style>
  <w:style w:type="character" w:customStyle="1" w:styleId="HeaderChar">
    <w:name w:val="Header Char"/>
    <w:link w:val="Header"/>
    <w:uiPriority w:val="99"/>
    <w:rsid w:val="00A42757"/>
    <w:rPr>
      <w:sz w:val="22"/>
      <w:szCs w:val="22"/>
    </w:rPr>
  </w:style>
  <w:style w:type="paragraph" w:styleId="Footer">
    <w:name w:val="footer"/>
    <w:basedOn w:val="Normal"/>
    <w:link w:val="FooterChar"/>
    <w:uiPriority w:val="99"/>
    <w:unhideWhenUsed/>
    <w:rsid w:val="00A42757"/>
    <w:pPr>
      <w:tabs>
        <w:tab w:val="center" w:pos="4680"/>
        <w:tab w:val="right" w:pos="9360"/>
      </w:tabs>
    </w:pPr>
  </w:style>
  <w:style w:type="character" w:customStyle="1" w:styleId="FooterChar">
    <w:name w:val="Footer Char"/>
    <w:link w:val="Footer"/>
    <w:uiPriority w:val="99"/>
    <w:rsid w:val="00A42757"/>
    <w:rPr>
      <w:sz w:val="22"/>
      <w:szCs w:val="22"/>
    </w:rPr>
  </w:style>
  <w:style w:type="paragraph" w:styleId="EndnoteText">
    <w:name w:val="endnote text"/>
    <w:basedOn w:val="Normal"/>
    <w:link w:val="EndnoteTextChar"/>
    <w:uiPriority w:val="99"/>
    <w:semiHidden/>
    <w:unhideWhenUsed/>
    <w:rsid w:val="00D20B9E"/>
    <w:rPr>
      <w:sz w:val="20"/>
      <w:szCs w:val="20"/>
    </w:rPr>
  </w:style>
  <w:style w:type="character" w:customStyle="1" w:styleId="EndnoteTextChar">
    <w:name w:val="Endnote Text Char"/>
    <w:basedOn w:val="DefaultParagraphFont"/>
    <w:link w:val="EndnoteText"/>
    <w:uiPriority w:val="99"/>
    <w:semiHidden/>
    <w:rsid w:val="00D20B9E"/>
  </w:style>
  <w:style w:type="character" w:styleId="EndnoteReference">
    <w:name w:val="endnote reference"/>
    <w:uiPriority w:val="99"/>
    <w:semiHidden/>
    <w:unhideWhenUsed/>
    <w:rsid w:val="00D20B9E"/>
    <w:rPr>
      <w:vertAlign w:val="superscript"/>
    </w:rPr>
  </w:style>
  <w:style w:type="paragraph" w:styleId="FootnoteText">
    <w:name w:val="footnote text"/>
    <w:basedOn w:val="Normal"/>
    <w:link w:val="FootnoteTextChar"/>
    <w:uiPriority w:val="99"/>
    <w:semiHidden/>
    <w:unhideWhenUsed/>
    <w:rsid w:val="00D20B9E"/>
    <w:rPr>
      <w:sz w:val="20"/>
      <w:szCs w:val="20"/>
    </w:rPr>
  </w:style>
  <w:style w:type="character" w:customStyle="1" w:styleId="FootnoteTextChar">
    <w:name w:val="Footnote Text Char"/>
    <w:basedOn w:val="DefaultParagraphFont"/>
    <w:link w:val="FootnoteText"/>
    <w:uiPriority w:val="99"/>
    <w:semiHidden/>
    <w:rsid w:val="00D20B9E"/>
  </w:style>
  <w:style w:type="character" w:styleId="FootnoteReference">
    <w:name w:val="footnote reference"/>
    <w:uiPriority w:val="99"/>
    <w:semiHidden/>
    <w:unhideWhenUsed/>
    <w:rsid w:val="00D20B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640639">
      <w:bodyDiv w:val="1"/>
      <w:marLeft w:val="0"/>
      <w:marRight w:val="0"/>
      <w:marTop w:val="0"/>
      <w:marBottom w:val="0"/>
      <w:divBdr>
        <w:top w:val="none" w:sz="0" w:space="0" w:color="auto"/>
        <w:left w:val="none" w:sz="0" w:space="0" w:color="auto"/>
        <w:bottom w:val="none" w:sz="0" w:space="0" w:color="auto"/>
        <w:right w:val="none" w:sz="0" w:space="0" w:color="auto"/>
      </w:divBdr>
      <w:divsChild>
        <w:div w:id="255678222">
          <w:marLeft w:val="0"/>
          <w:marRight w:val="0"/>
          <w:marTop w:val="0"/>
          <w:marBottom w:val="0"/>
          <w:divBdr>
            <w:top w:val="none" w:sz="0" w:space="0" w:color="auto"/>
            <w:left w:val="none" w:sz="0" w:space="0" w:color="auto"/>
            <w:bottom w:val="none" w:sz="0" w:space="0" w:color="auto"/>
            <w:right w:val="none" w:sz="0" w:space="0" w:color="auto"/>
          </w:divBdr>
          <w:divsChild>
            <w:div w:id="149294915">
              <w:marLeft w:val="0"/>
              <w:marRight w:val="0"/>
              <w:marTop w:val="0"/>
              <w:marBottom w:val="0"/>
              <w:divBdr>
                <w:top w:val="none" w:sz="0" w:space="0" w:color="auto"/>
                <w:left w:val="none" w:sz="0" w:space="0" w:color="auto"/>
                <w:bottom w:val="none" w:sz="0" w:space="0" w:color="auto"/>
                <w:right w:val="none" w:sz="0" w:space="0" w:color="auto"/>
              </w:divBdr>
            </w:div>
            <w:div w:id="351535391">
              <w:marLeft w:val="0"/>
              <w:marRight w:val="0"/>
              <w:marTop w:val="0"/>
              <w:marBottom w:val="0"/>
              <w:divBdr>
                <w:top w:val="none" w:sz="0" w:space="0" w:color="auto"/>
                <w:left w:val="none" w:sz="0" w:space="0" w:color="auto"/>
                <w:bottom w:val="none" w:sz="0" w:space="0" w:color="auto"/>
                <w:right w:val="none" w:sz="0" w:space="0" w:color="auto"/>
              </w:divBdr>
            </w:div>
            <w:div w:id="410471874">
              <w:marLeft w:val="0"/>
              <w:marRight w:val="0"/>
              <w:marTop w:val="0"/>
              <w:marBottom w:val="0"/>
              <w:divBdr>
                <w:top w:val="none" w:sz="0" w:space="0" w:color="auto"/>
                <w:left w:val="none" w:sz="0" w:space="0" w:color="auto"/>
                <w:bottom w:val="none" w:sz="0" w:space="0" w:color="auto"/>
                <w:right w:val="none" w:sz="0" w:space="0" w:color="auto"/>
              </w:divBdr>
            </w:div>
            <w:div w:id="1026323654">
              <w:marLeft w:val="0"/>
              <w:marRight w:val="0"/>
              <w:marTop w:val="0"/>
              <w:marBottom w:val="0"/>
              <w:divBdr>
                <w:top w:val="none" w:sz="0" w:space="0" w:color="auto"/>
                <w:left w:val="none" w:sz="0" w:space="0" w:color="auto"/>
                <w:bottom w:val="none" w:sz="0" w:space="0" w:color="auto"/>
                <w:right w:val="none" w:sz="0" w:space="0" w:color="auto"/>
              </w:divBdr>
            </w:div>
            <w:div w:id="20469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20.bin"/><Relationship Id="rId50" Type="http://schemas.openxmlformats.org/officeDocument/2006/relationships/image" Target="media/image21.wmf"/><Relationship Id="rId55" Type="http://schemas.openxmlformats.org/officeDocument/2006/relationships/oleObject" Target="embeddings/oleObject24.bin"/><Relationship Id="rId63" Type="http://schemas.openxmlformats.org/officeDocument/2006/relationships/image" Target="media/image27.wmf"/><Relationship Id="rId68" Type="http://schemas.openxmlformats.org/officeDocument/2006/relationships/oleObject" Target="embeddings/oleObject31.bin"/><Relationship Id="rId76" Type="http://schemas.openxmlformats.org/officeDocument/2006/relationships/oleObject" Target="embeddings/oleObject35.bin"/><Relationship Id="rId84" Type="http://schemas.openxmlformats.org/officeDocument/2006/relationships/oleObject" Target="embeddings/oleObject39.bin"/><Relationship Id="rId89" Type="http://schemas.openxmlformats.org/officeDocument/2006/relationships/image" Target="media/image40.wmf"/><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31.wmf"/><Relationship Id="rId92" Type="http://schemas.openxmlformats.org/officeDocument/2006/relationships/oleObject" Target="embeddings/oleObject43.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1.bin"/><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image" Target="media/image16.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5.wmf"/><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5.wmf"/><Relationship Id="rId87" Type="http://schemas.openxmlformats.org/officeDocument/2006/relationships/image" Target="media/image39.wmf"/><Relationship Id="rId5" Type="http://schemas.openxmlformats.org/officeDocument/2006/relationships/settings" Target="settings.xml"/><Relationship Id="rId61" Type="http://schemas.openxmlformats.org/officeDocument/2006/relationships/image" Target="media/image26.wmf"/><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footer" Target="footer1.xm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oleObject" Target="embeddings/oleObject29.bin"/><Relationship Id="rId69" Type="http://schemas.openxmlformats.org/officeDocument/2006/relationships/image" Target="media/image30.wmf"/><Relationship Id="rId77" Type="http://schemas.openxmlformats.org/officeDocument/2006/relationships/image" Target="media/image34.wmf"/><Relationship Id="rId8" Type="http://schemas.openxmlformats.org/officeDocument/2006/relationships/endnotes" Target="endnotes.xml"/><Relationship Id="rId51" Type="http://schemas.openxmlformats.org/officeDocument/2006/relationships/oleObject" Target="embeddings/oleObject22.bin"/><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38.wmf"/><Relationship Id="rId93" Type="http://schemas.openxmlformats.org/officeDocument/2006/relationships/image" Target="media/image42.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6.bin"/><Relationship Id="rId67" Type="http://schemas.openxmlformats.org/officeDocument/2006/relationships/image" Target="media/image29.wmf"/><Relationship Id="rId20" Type="http://schemas.openxmlformats.org/officeDocument/2006/relationships/oleObject" Target="embeddings/oleObject6.bin"/><Relationship Id="rId41" Type="http://schemas.openxmlformats.org/officeDocument/2006/relationships/oleObject" Target="embeddings/oleObject17.bin"/><Relationship Id="rId54" Type="http://schemas.openxmlformats.org/officeDocument/2006/relationships/image" Target="media/image23.wmf"/><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oleObject" Target="embeddings/oleObject41.bin"/><Relationship Id="rId91" Type="http://schemas.openxmlformats.org/officeDocument/2006/relationships/image" Target="media/image41.wmf"/><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oleObject" Target="embeddings/oleObject1.bin"/><Relationship Id="rId31" Type="http://schemas.openxmlformats.org/officeDocument/2006/relationships/oleObject" Target="embeddings/oleObject12.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oleObject" Target="embeddings/oleObject27.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6.bin"/><Relationship Id="rId81" Type="http://schemas.openxmlformats.org/officeDocument/2006/relationships/image" Target="media/image36.wmf"/><Relationship Id="rId86" Type="http://schemas.openxmlformats.org/officeDocument/2006/relationships/oleObject" Target="embeddings/oleObject40.bin"/><Relationship Id="rId94" Type="http://schemas.openxmlformats.org/officeDocument/2006/relationships/oleObject" Target="embeddings/oleObject44.bin"/><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2C165-CB10-4297-88FF-711A96793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9</Pages>
  <Words>2902</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Cooner, Freda</dc:creator>
  <cp:lastModifiedBy>Cooner, Freda</cp:lastModifiedBy>
  <cp:revision>5</cp:revision>
  <cp:lastPrinted>2015-07-14T20:11:00Z</cp:lastPrinted>
  <dcterms:created xsi:type="dcterms:W3CDTF">2016-05-02T18:53:00Z</dcterms:created>
  <dcterms:modified xsi:type="dcterms:W3CDTF">2016-05-02T23:46:00Z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